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63EF" w:rsidRDefault="004E63EF" w:rsidP="004E63EF">
      <w:pPr>
        <w:pageBreakBefore/>
        <w:rPr>
          <w:rFonts w:ascii="仿宋_GB2312" w:eastAsia="仿宋_GB2312"/>
          <w:b/>
          <w:bCs/>
          <w:sz w:val="30"/>
          <w:szCs w:val="30"/>
        </w:rPr>
      </w:pPr>
      <w:r>
        <w:rPr>
          <w:rFonts w:ascii="仿宋_GB2312" w:eastAsia="仿宋_GB2312" w:cs="仿宋_GB2312" w:hint="eastAsia"/>
          <w:b/>
          <w:bCs/>
          <w:sz w:val="30"/>
          <w:szCs w:val="30"/>
        </w:rPr>
        <w:t>附件1-</w:t>
      </w:r>
      <w:r w:rsidR="005366D6">
        <w:rPr>
          <w:rFonts w:ascii="仿宋_GB2312" w:eastAsia="仿宋_GB2312" w:cs="仿宋_GB2312"/>
          <w:b/>
          <w:bCs/>
          <w:sz w:val="30"/>
          <w:szCs w:val="30"/>
        </w:rPr>
        <w:t>2</w:t>
      </w:r>
      <w:r>
        <w:rPr>
          <w:rFonts w:ascii="仿宋_GB2312" w:eastAsia="仿宋_GB2312" w:cs="仿宋_GB2312" w:hint="eastAsia"/>
          <w:b/>
          <w:bCs/>
          <w:sz w:val="30"/>
          <w:szCs w:val="30"/>
        </w:rPr>
        <w:t>：</w:t>
      </w:r>
    </w:p>
    <w:tbl>
      <w:tblPr>
        <w:tblW w:w="8437" w:type="dxa"/>
        <w:tblInd w:w="-106" w:type="dxa"/>
        <w:tblLook w:val="04A0" w:firstRow="1" w:lastRow="0" w:firstColumn="1" w:lastColumn="0" w:noHBand="0" w:noVBand="1"/>
      </w:tblPr>
      <w:tblGrid>
        <w:gridCol w:w="1511"/>
        <w:gridCol w:w="1260"/>
        <w:gridCol w:w="1742"/>
        <w:gridCol w:w="1547"/>
        <w:gridCol w:w="2377"/>
      </w:tblGrid>
      <w:tr w:rsidR="004E63EF" w:rsidTr="009F0224">
        <w:trPr>
          <w:trHeight w:val="345"/>
        </w:trPr>
        <w:tc>
          <w:tcPr>
            <w:tcW w:w="8437" w:type="dxa"/>
            <w:gridSpan w:val="5"/>
            <w:noWrap/>
            <w:vAlign w:val="center"/>
            <w:hideMark/>
          </w:tcPr>
          <w:p w:rsidR="004E63EF" w:rsidRPr="00D35912" w:rsidRDefault="004E63EF" w:rsidP="009F0224">
            <w:pPr>
              <w:widowControl/>
              <w:jc w:val="center"/>
              <w:rPr>
                <w:rFonts w:ascii="仿宋" w:eastAsia="仿宋" w:hAnsi="仿宋" w:cs="华文仿宋"/>
                <w:b/>
                <w:bCs/>
                <w:color w:val="000000"/>
                <w:spacing w:val="-10"/>
                <w:kern w:val="0"/>
                <w:sz w:val="30"/>
                <w:szCs w:val="30"/>
              </w:rPr>
            </w:pPr>
            <w:r w:rsidRPr="00D35912">
              <w:rPr>
                <w:rFonts w:ascii="仿宋" w:eastAsia="仿宋" w:hAnsi="仿宋" w:cs="华文仿宋" w:hint="eastAsia"/>
                <w:b/>
                <w:bCs/>
                <w:color w:val="000000"/>
                <w:spacing w:val="-10"/>
                <w:kern w:val="0"/>
                <w:sz w:val="30"/>
                <w:szCs w:val="30"/>
              </w:rPr>
              <w:t>2</w:t>
            </w:r>
            <w:r w:rsidRPr="00D35912">
              <w:rPr>
                <w:rFonts w:ascii="仿宋" w:eastAsia="仿宋" w:hAnsi="仿宋" w:cs="华文仿宋"/>
                <w:b/>
                <w:bCs/>
                <w:color w:val="000000"/>
                <w:spacing w:val="-10"/>
                <w:kern w:val="0"/>
                <w:sz w:val="30"/>
                <w:szCs w:val="30"/>
              </w:rPr>
              <w:t>020</w:t>
            </w:r>
            <w:r w:rsidRPr="00D35912">
              <w:rPr>
                <w:rFonts w:ascii="仿宋" w:eastAsia="仿宋" w:hAnsi="仿宋" w:cs="华文仿宋" w:hint="eastAsia"/>
                <w:b/>
                <w:bCs/>
                <w:color w:val="000000"/>
                <w:spacing w:val="-10"/>
                <w:kern w:val="0"/>
                <w:sz w:val="30"/>
                <w:szCs w:val="30"/>
              </w:rPr>
              <w:t>年度“中国生态环境十大科技进展”</w:t>
            </w:r>
            <w:r w:rsidR="005366D6">
              <w:rPr>
                <w:rFonts w:ascii="仿宋" w:eastAsia="仿宋" w:hAnsi="仿宋" w:cs="华文仿宋" w:hint="eastAsia"/>
                <w:b/>
                <w:bCs/>
                <w:color w:val="000000"/>
                <w:spacing w:val="-10"/>
                <w:kern w:val="0"/>
                <w:sz w:val="30"/>
                <w:szCs w:val="30"/>
              </w:rPr>
              <w:t>完成单位信息表</w:t>
            </w:r>
          </w:p>
        </w:tc>
      </w:tr>
      <w:tr w:rsidR="004E63EF" w:rsidTr="005366D6">
        <w:trPr>
          <w:trHeight w:val="243"/>
        </w:trPr>
        <w:tc>
          <w:tcPr>
            <w:tcW w:w="1511" w:type="dxa"/>
            <w:tcBorders>
              <w:top w:val="single" w:sz="4" w:space="0" w:color="auto"/>
              <w:left w:val="single" w:sz="4" w:space="0" w:color="auto"/>
              <w:bottom w:val="single" w:sz="4" w:space="0" w:color="auto"/>
              <w:right w:val="single" w:sz="4" w:space="0" w:color="auto"/>
            </w:tcBorders>
            <w:vAlign w:val="center"/>
            <w:hideMark/>
          </w:tcPr>
          <w:p w:rsidR="004E63EF" w:rsidRDefault="004E63EF" w:rsidP="009F0224">
            <w:pPr>
              <w:widowControl/>
              <w:jc w:val="center"/>
              <w:rPr>
                <w:rFonts w:ascii="仿宋" w:eastAsia="仿宋" w:hAnsi="仿宋" w:cs="华文仿宋"/>
                <w:b/>
                <w:bCs/>
                <w:color w:val="000000"/>
                <w:kern w:val="0"/>
                <w:szCs w:val="21"/>
              </w:rPr>
            </w:pPr>
            <w:r>
              <w:rPr>
                <w:rFonts w:ascii="仿宋" w:eastAsia="仿宋" w:hAnsi="仿宋" w:cs="华文仿宋" w:hint="eastAsia"/>
                <w:b/>
                <w:bCs/>
                <w:color w:val="000000"/>
                <w:kern w:val="0"/>
                <w:szCs w:val="21"/>
              </w:rPr>
              <w:t>进展名称</w:t>
            </w:r>
          </w:p>
        </w:tc>
        <w:tc>
          <w:tcPr>
            <w:tcW w:w="6926" w:type="dxa"/>
            <w:gridSpan w:val="4"/>
            <w:tcBorders>
              <w:top w:val="single" w:sz="4" w:space="0" w:color="auto"/>
              <w:left w:val="nil"/>
              <w:bottom w:val="single" w:sz="4" w:space="0" w:color="auto"/>
              <w:right w:val="single" w:sz="4" w:space="0" w:color="000000"/>
            </w:tcBorders>
            <w:noWrap/>
            <w:vAlign w:val="center"/>
          </w:tcPr>
          <w:p w:rsidR="004E63EF" w:rsidRDefault="004E63EF" w:rsidP="009F0224">
            <w:pPr>
              <w:widowControl/>
              <w:jc w:val="center"/>
              <w:rPr>
                <w:rFonts w:ascii="仿宋" w:eastAsia="仿宋" w:hAnsi="仿宋" w:cs="华文仿宋"/>
                <w:b/>
                <w:bCs/>
                <w:color w:val="000000"/>
                <w:kern w:val="0"/>
                <w:szCs w:val="21"/>
              </w:rPr>
            </w:pPr>
          </w:p>
        </w:tc>
      </w:tr>
      <w:tr w:rsidR="004E63EF" w:rsidTr="005366D6">
        <w:trPr>
          <w:trHeight w:val="243"/>
        </w:trPr>
        <w:tc>
          <w:tcPr>
            <w:tcW w:w="1511" w:type="dxa"/>
            <w:tcBorders>
              <w:top w:val="single" w:sz="4" w:space="0" w:color="auto"/>
              <w:left w:val="single" w:sz="4" w:space="0" w:color="auto"/>
              <w:bottom w:val="single" w:sz="4" w:space="0" w:color="auto"/>
              <w:right w:val="single" w:sz="4" w:space="0" w:color="auto"/>
            </w:tcBorders>
            <w:vAlign w:val="center"/>
            <w:hideMark/>
          </w:tcPr>
          <w:p w:rsidR="004E63EF" w:rsidRDefault="004E63EF" w:rsidP="009F0224">
            <w:pPr>
              <w:widowControl/>
              <w:jc w:val="center"/>
              <w:rPr>
                <w:rFonts w:ascii="仿宋" w:eastAsia="仿宋" w:hAnsi="仿宋" w:cs="华文仿宋"/>
                <w:b/>
                <w:bCs/>
                <w:color w:val="000000"/>
                <w:kern w:val="0"/>
                <w:szCs w:val="21"/>
              </w:rPr>
            </w:pPr>
            <w:r>
              <w:rPr>
                <w:rFonts w:ascii="仿宋" w:eastAsia="仿宋" w:hAnsi="仿宋" w:cs="华文仿宋" w:hint="eastAsia"/>
                <w:b/>
                <w:bCs/>
                <w:color w:val="000000"/>
                <w:kern w:val="0"/>
                <w:szCs w:val="21"/>
              </w:rPr>
              <w:t>主要完成人</w:t>
            </w:r>
          </w:p>
        </w:tc>
        <w:tc>
          <w:tcPr>
            <w:tcW w:w="6926" w:type="dxa"/>
            <w:gridSpan w:val="4"/>
            <w:tcBorders>
              <w:top w:val="single" w:sz="4" w:space="0" w:color="auto"/>
              <w:left w:val="nil"/>
              <w:bottom w:val="single" w:sz="4" w:space="0" w:color="auto"/>
              <w:right w:val="single" w:sz="4" w:space="0" w:color="000000"/>
            </w:tcBorders>
            <w:noWrap/>
            <w:vAlign w:val="center"/>
          </w:tcPr>
          <w:p w:rsidR="004E63EF" w:rsidRDefault="004E63EF" w:rsidP="009F0224">
            <w:pPr>
              <w:widowControl/>
              <w:jc w:val="center"/>
              <w:rPr>
                <w:rFonts w:ascii="仿宋" w:eastAsia="仿宋" w:hAnsi="仿宋" w:cs="华文仿宋"/>
                <w:b/>
                <w:bCs/>
                <w:color w:val="000000"/>
                <w:kern w:val="0"/>
                <w:szCs w:val="21"/>
              </w:rPr>
            </w:pPr>
          </w:p>
        </w:tc>
      </w:tr>
      <w:tr w:rsidR="004E63EF" w:rsidTr="005366D6">
        <w:trPr>
          <w:trHeight w:val="243"/>
        </w:trPr>
        <w:tc>
          <w:tcPr>
            <w:tcW w:w="1511" w:type="dxa"/>
            <w:tcBorders>
              <w:top w:val="single" w:sz="4" w:space="0" w:color="auto"/>
              <w:left w:val="single" w:sz="4" w:space="0" w:color="auto"/>
              <w:bottom w:val="single" w:sz="4" w:space="0" w:color="auto"/>
              <w:right w:val="single" w:sz="4" w:space="0" w:color="auto"/>
            </w:tcBorders>
            <w:vAlign w:val="center"/>
            <w:hideMark/>
          </w:tcPr>
          <w:p w:rsidR="004E63EF" w:rsidRPr="00DA3A73" w:rsidRDefault="004E63EF" w:rsidP="009F0224">
            <w:pPr>
              <w:widowControl/>
              <w:jc w:val="center"/>
              <w:rPr>
                <w:rFonts w:ascii="仿宋" w:eastAsia="仿宋" w:hAnsi="仿宋" w:cs="华文仿宋"/>
                <w:b/>
                <w:bCs/>
                <w:color w:val="000000"/>
                <w:kern w:val="0"/>
                <w:szCs w:val="21"/>
              </w:rPr>
            </w:pPr>
            <w:r>
              <w:rPr>
                <w:rFonts w:ascii="仿宋" w:eastAsia="仿宋" w:hAnsi="仿宋" w:cs="华文仿宋" w:hint="eastAsia"/>
                <w:b/>
                <w:bCs/>
                <w:color w:val="000000"/>
                <w:kern w:val="0"/>
                <w:szCs w:val="21"/>
              </w:rPr>
              <w:t>完成单位</w:t>
            </w:r>
          </w:p>
        </w:tc>
        <w:tc>
          <w:tcPr>
            <w:tcW w:w="6926" w:type="dxa"/>
            <w:gridSpan w:val="4"/>
            <w:tcBorders>
              <w:top w:val="single" w:sz="4" w:space="0" w:color="auto"/>
              <w:left w:val="nil"/>
              <w:bottom w:val="single" w:sz="4" w:space="0" w:color="auto"/>
              <w:right w:val="single" w:sz="4" w:space="0" w:color="000000"/>
            </w:tcBorders>
            <w:noWrap/>
            <w:vAlign w:val="center"/>
          </w:tcPr>
          <w:p w:rsidR="004E63EF" w:rsidRDefault="004E63EF" w:rsidP="009F0224">
            <w:pPr>
              <w:widowControl/>
              <w:jc w:val="center"/>
              <w:rPr>
                <w:rFonts w:ascii="仿宋" w:eastAsia="仿宋" w:hAnsi="仿宋" w:cs="华文仿宋"/>
                <w:b/>
                <w:bCs/>
                <w:color w:val="000000"/>
                <w:kern w:val="0"/>
                <w:szCs w:val="21"/>
              </w:rPr>
            </w:pPr>
          </w:p>
        </w:tc>
      </w:tr>
      <w:tr w:rsidR="004E63EF" w:rsidTr="005366D6">
        <w:trPr>
          <w:trHeight w:val="281"/>
        </w:trPr>
        <w:tc>
          <w:tcPr>
            <w:tcW w:w="1511" w:type="dxa"/>
            <w:vMerge w:val="restart"/>
            <w:tcBorders>
              <w:top w:val="nil"/>
              <w:left w:val="single" w:sz="4" w:space="0" w:color="auto"/>
              <w:bottom w:val="single" w:sz="4" w:space="0" w:color="000000"/>
              <w:right w:val="single" w:sz="4" w:space="0" w:color="auto"/>
            </w:tcBorders>
            <w:vAlign w:val="center"/>
            <w:hideMark/>
          </w:tcPr>
          <w:p w:rsidR="004E63EF" w:rsidRDefault="005366D6" w:rsidP="009F0224">
            <w:pPr>
              <w:widowControl/>
              <w:jc w:val="center"/>
              <w:rPr>
                <w:rFonts w:ascii="仿宋" w:eastAsia="仿宋" w:hAnsi="仿宋" w:cs="华文仿宋"/>
                <w:b/>
                <w:bCs/>
                <w:color w:val="000000"/>
                <w:kern w:val="0"/>
                <w:szCs w:val="21"/>
              </w:rPr>
            </w:pPr>
            <w:r>
              <w:rPr>
                <w:rFonts w:ascii="仿宋" w:eastAsia="仿宋" w:hAnsi="仿宋" w:cs="华文仿宋" w:hint="eastAsia"/>
                <w:b/>
                <w:bCs/>
                <w:color w:val="000000"/>
                <w:kern w:val="0"/>
                <w:szCs w:val="21"/>
              </w:rPr>
              <w:t>完成</w:t>
            </w:r>
            <w:r w:rsidR="004E63EF">
              <w:rPr>
                <w:rFonts w:ascii="仿宋" w:eastAsia="仿宋" w:hAnsi="仿宋" w:cs="华文仿宋" w:hint="eastAsia"/>
                <w:b/>
                <w:bCs/>
                <w:color w:val="000000"/>
                <w:kern w:val="0"/>
                <w:szCs w:val="21"/>
              </w:rPr>
              <w:t>单位</w:t>
            </w:r>
          </w:p>
          <w:p w:rsidR="004E63EF" w:rsidRDefault="004E63EF" w:rsidP="009F0224">
            <w:pPr>
              <w:widowControl/>
              <w:jc w:val="center"/>
              <w:rPr>
                <w:rFonts w:ascii="仿宋" w:eastAsia="仿宋" w:hAnsi="仿宋"/>
                <w:b/>
                <w:bCs/>
                <w:color w:val="000000"/>
                <w:kern w:val="0"/>
                <w:szCs w:val="21"/>
              </w:rPr>
            </w:pPr>
            <w:r>
              <w:rPr>
                <w:rFonts w:ascii="仿宋" w:eastAsia="仿宋" w:hAnsi="仿宋" w:cs="华文仿宋" w:hint="eastAsia"/>
                <w:b/>
                <w:bCs/>
                <w:color w:val="000000"/>
                <w:kern w:val="0"/>
                <w:szCs w:val="21"/>
              </w:rPr>
              <w:t>联系人信息</w:t>
            </w:r>
          </w:p>
        </w:tc>
        <w:tc>
          <w:tcPr>
            <w:tcW w:w="1260" w:type="dxa"/>
            <w:tcBorders>
              <w:top w:val="nil"/>
              <w:left w:val="nil"/>
              <w:bottom w:val="single" w:sz="4" w:space="0" w:color="auto"/>
              <w:right w:val="single" w:sz="4" w:space="0" w:color="auto"/>
            </w:tcBorders>
            <w:noWrap/>
            <w:vAlign w:val="center"/>
            <w:hideMark/>
          </w:tcPr>
          <w:p w:rsidR="004E63EF" w:rsidRDefault="004E63EF" w:rsidP="009F0224">
            <w:pPr>
              <w:widowControl/>
              <w:jc w:val="center"/>
              <w:rPr>
                <w:rFonts w:ascii="仿宋" w:eastAsia="仿宋" w:hAnsi="仿宋"/>
                <w:b/>
                <w:bCs/>
                <w:color w:val="000000"/>
                <w:kern w:val="0"/>
                <w:szCs w:val="21"/>
              </w:rPr>
            </w:pPr>
            <w:r>
              <w:rPr>
                <w:rFonts w:ascii="仿宋" w:eastAsia="仿宋" w:hAnsi="仿宋" w:cs="华文仿宋" w:hint="eastAsia"/>
                <w:b/>
                <w:bCs/>
                <w:color w:val="000000"/>
                <w:kern w:val="0"/>
                <w:szCs w:val="21"/>
              </w:rPr>
              <w:t>姓名</w:t>
            </w:r>
          </w:p>
        </w:tc>
        <w:tc>
          <w:tcPr>
            <w:tcW w:w="1742" w:type="dxa"/>
            <w:tcBorders>
              <w:top w:val="nil"/>
              <w:left w:val="nil"/>
              <w:bottom w:val="single" w:sz="4" w:space="0" w:color="auto"/>
              <w:right w:val="single" w:sz="4" w:space="0" w:color="auto"/>
            </w:tcBorders>
            <w:noWrap/>
            <w:vAlign w:val="center"/>
            <w:hideMark/>
          </w:tcPr>
          <w:p w:rsidR="004E63EF" w:rsidRDefault="004E63EF" w:rsidP="009F0224">
            <w:pPr>
              <w:widowControl/>
              <w:jc w:val="left"/>
              <w:rPr>
                <w:rFonts w:ascii="仿宋" w:eastAsia="仿宋" w:hAnsi="仿宋"/>
                <w:b/>
                <w:bCs/>
                <w:color w:val="000000"/>
                <w:kern w:val="0"/>
                <w:szCs w:val="21"/>
              </w:rPr>
            </w:pPr>
            <w:r>
              <w:rPr>
                <w:rFonts w:ascii="仿宋" w:eastAsia="仿宋" w:hAnsi="仿宋" w:cs="华文仿宋" w:hint="eastAsia"/>
                <w:b/>
                <w:bCs/>
                <w:color w:val="000000"/>
                <w:kern w:val="0"/>
                <w:szCs w:val="21"/>
              </w:rPr>
              <w:t xml:space="preserve">　</w:t>
            </w:r>
          </w:p>
        </w:tc>
        <w:tc>
          <w:tcPr>
            <w:tcW w:w="1547" w:type="dxa"/>
            <w:tcBorders>
              <w:top w:val="single" w:sz="4" w:space="0" w:color="auto"/>
              <w:left w:val="nil"/>
              <w:bottom w:val="single" w:sz="4" w:space="0" w:color="auto"/>
              <w:right w:val="nil"/>
            </w:tcBorders>
            <w:noWrap/>
            <w:vAlign w:val="center"/>
            <w:hideMark/>
          </w:tcPr>
          <w:p w:rsidR="004E63EF" w:rsidRDefault="004E63EF" w:rsidP="009F0224">
            <w:pPr>
              <w:widowControl/>
              <w:jc w:val="center"/>
              <w:rPr>
                <w:rFonts w:ascii="仿宋" w:eastAsia="仿宋" w:hAnsi="仿宋"/>
                <w:b/>
                <w:bCs/>
                <w:color w:val="000000"/>
                <w:kern w:val="0"/>
                <w:szCs w:val="21"/>
              </w:rPr>
            </w:pPr>
            <w:r>
              <w:rPr>
                <w:rFonts w:ascii="仿宋" w:eastAsia="仿宋" w:hAnsi="仿宋" w:cs="华文仿宋" w:hint="eastAsia"/>
                <w:b/>
                <w:bCs/>
                <w:color w:val="000000"/>
                <w:kern w:val="0"/>
                <w:szCs w:val="21"/>
              </w:rPr>
              <w:t>电子邮箱</w:t>
            </w:r>
          </w:p>
        </w:tc>
        <w:tc>
          <w:tcPr>
            <w:tcW w:w="2377" w:type="dxa"/>
            <w:tcBorders>
              <w:top w:val="single" w:sz="4" w:space="0" w:color="auto"/>
              <w:left w:val="single" w:sz="4" w:space="0" w:color="auto"/>
              <w:bottom w:val="single" w:sz="4" w:space="0" w:color="auto"/>
              <w:right w:val="single" w:sz="4" w:space="0" w:color="auto"/>
            </w:tcBorders>
            <w:noWrap/>
            <w:vAlign w:val="center"/>
            <w:hideMark/>
          </w:tcPr>
          <w:p w:rsidR="004E63EF" w:rsidRDefault="004E63EF" w:rsidP="009F0224">
            <w:pPr>
              <w:widowControl/>
              <w:jc w:val="left"/>
              <w:rPr>
                <w:rFonts w:ascii="仿宋" w:eastAsia="仿宋" w:hAnsi="仿宋"/>
                <w:b/>
                <w:bCs/>
                <w:color w:val="000000"/>
                <w:kern w:val="0"/>
                <w:szCs w:val="21"/>
              </w:rPr>
            </w:pPr>
            <w:r>
              <w:rPr>
                <w:rFonts w:ascii="仿宋" w:eastAsia="仿宋" w:hAnsi="仿宋" w:cs="华文仿宋" w:hint="eastAsia"/>
                <w:b/>
                <w:bCs/>
                <w:color w:val="000000"/>
                <w:kern w:val="0"/>
                <w:szCs w:val="21"/>
              </w:rPr>
              <w:t xml:space="preserve">　</w:t>
            </w:r>
          </w:p>
        </w:tc>
      </w:tr>
      <w:tr w:rsidR="004E63EF" w:rsidTr="005366D6">
        <w:trPr>
          <w:trHeight w:val="269"/>
        </w:trPr>
        <w:tc>
          <w:tcPr>
            <w:tcW w:w="0" w:type="auto"/>
            <w:vMerge/>
            <w:tcBorders>
              <w:top w:val="nil"/>
              <w:left w:val="single" w:sz="4" w:space="0" w:color="auto"/>
              <w:bottom w:val="single" w:sz="4" w:space="0" w:color="000000"/>
              <w:right w:val="single" w:sz="4" w:space="0" w:color="auto"/>
            </w:tcBorders>
            <w:vAlign w:val="center"/>
            <w:hideMark/>
          </w:tcPr>
          <w:p w:rsidR="004E63EF" w:rsidRDefault="004E63EF" w:rsidP="009F0224">
            <w:pPr>
              <w:widowControl/>
              <w:jc w:val="left"/>
              <w:rPr>
                <w:rFonts w:ascii="仿宋" w:eastAsia="仿宋" w:hAnsi="仿宋"/>
                <w:b/>
                <w:bCs/>
                <w:color w:val="000000"/>
                <w:kern w:val="0"/>
                <w:szCs w:val="21"/>
              </w:rPr>
            </w:pPr>
          </w:p>
        </w:tc>
        <w:tc>
          <w:tcPr>
            <w:tcW w:w="1260" w:type="dxa"/>
            <w:tcBorders>
              <w:top w:val="nil"/>
              <w:left w:val="nil"/>
              <w:bottom w:val="single" w:sz="4" w:space="0" w:color="auto"/>
              <w:right w:val="single" w:sz="4" w:space="0" w:color="auto"/>
            </w:tcBorders>
            <w:noWrap/>
            <w:vAlign w:val="center"/>
            <w:hideMark/>
          </w:tcPr>
          <w:p w:rsidR="004E63EF" w:rsidRDefault="004E63EF" w:rsidP="009F0224">
            <w:pPr>
              <w:widowControl/>
              <w:jc w:val="center"/>
              <w:rPr>
                <w:rFonts w:ascii="仿宋" w:eastAsia="仿宋" w:hAnsi="仿宋"/>
                <w:b/>
                <w:bCs/>
                <w:color w:val="000000"/>
                <w:kern w:val="0"/>
                <w:szCs w:val="21"/>
              </w:rPr>
            </w:pPr>
            <w:r>
              <w:rPr>
                <w:rFonts w:ascii="仿宋" w:eastAsia="仿宋" w:hAnsi="仿宋" w:cs="华文仿宋" w:hint="eastAsia"/>
                <w:b/>
                <w:bCs/>
                <w:color w:val="000000"/>
                <w:kern w:val="0"/>
                <w:szCs w:val="21"/>
              </w:rPr>
              <w:t>电话</w:t>
            </w:r>
          </w:p>
        </w:tc>
        <w:tc>
          <w:tcPr>
            <w:tcW w:w="1742" w:type="dxa"/>
            <w:tcBorders>
              <w:top w:val="nil"/>
              <w:left w:val="nil"/>
              <w:bottom w:val="single" w:sz="4" w:space="0" w:color="auto"/>
              <w:right w:val="single" w:sz="4" w:space="0" w:color="auto"/>
            </w:tcBorders>
            <w:noWrap/>
            <w:vAlign w:val="center"/>
            <w:hideMark/>
          </w:tcPr>
          <w:p w:rsidR="004E63EF" w:rsidRDefault="004E63EF" w:rsidP="009F0224">
            <w:pPr>
              <w:widowControl/>
              <w:jc w:val="left"/>
              <w:rPr>
                <w:rFonts w:ascii="仿宋" w:eastAsia="仿宋" w:hAnsi="仿宋"/>
                <w:b/>
                <w:bCs/>
                <w:color w:val="000000"/>
                <w:kern w:val="0"/>
                <w:szCs w:val="21"/>
              </w:rPr>
            </w:pPr>
            <w:r>
              <w:rPr>
                <w:rFonts w:ascii="仿宋" w:eastAsia="仿宋" w:hAnsi="仿宋" w:cs="华文仿宋" w:hint="eastAsia"/>
                <w:b/>
                <w:bCs/>
                <w:color w:val="000000"/>
                <w:kern w:val="0"/>
                <w:szCs w:val="21"/>
              </w:rPr>
              <w:t xml:space="preserve">　</w:t>
            </w:r>
          </w:p>
        </w:tc>
        <w:tc>
          <w:tcPr>
            <w:tcW w:w="1547" w:type="dxa"/>
            <w:tcBorders>
              <w:top w:val="single" w:sz="4" w:space="0" w:color="auto"/>
              <w:left w:val="nil"/>
              <w:bottom w:val="single" w:sz="4" w:space="0" w:color="auto"/>
              <w:right w:val="nil"/>
            </w:tcBorders>
            <w:noWrap/>
            <w:vAlign w:val="center"/>
            <w:hideMark/>
          </w:tcPr>
          <w:p w:rsidR="004E63EF" w:rsidRDefault="004E63EF" w:rsidP="009F0224">
            <w:pPr>
              <w:widowControl/>
              <w:jc w:val="center"/>
              <w:rPr>
                <w:rFonts w:ascii="仿宋" w:eastAsia="仿宋" w:hAnsi="仿宋"/>
                <w:b/>
                <w:bCs/>
                <w:color w:val="000000"/>
                <w:kern w:val="0"/>
                <w:szCs w:val="21"/>
              </w:rPr>
            </w:pPr>
            <w:r>
              <w:rPr>
                <w:rFonts w:ascii="仿宋" w:eastAsia="仿宋" w:hAnsi="仿宋" w:cs="华文仿宋" w:hint="eastAsia"/>
                <w:b/>
                <w:bCs/>
                <w:color w:val="000000"/>
                <w:kern w:val="0"/>
                <w:szCs w:val="21"/>
              </w:rPr>
              <w:t>手机</w:t>
            </w:r>
          </w:p>
        </w:tc>
        <w:tc>
          <w:tcPr>
            <w:tcW w:w="2377" w:type="dxa"/>
            <w:tcBorders>
              <w:top w:val="single" w:sz="4" w:space="0" w:color="auto"/>
              <w:left w:val="single" w:sz="4" w:space="0" w:color="auto"/>
              <w:bottom w:val="single" w:sz="4" w:space="0" w:color="auto"/>
              <w:right w:val="single" w:sz="4" w:space="0" w:color="auto"/>
            </w:tcBorders>
            <w:noWrap/>
            <w:vAlign w:val="center"/>
            <w:hideMark/>
          </w:tcPr>
          <w:p w:rsidR="004E63EF" w:rsidRDefault="004E63EF" w:rsidP="009F0224">
            <w:pPr>
              <w:widowControl/>
              <w:jc w:val="left"/>
              <w:rPr>
                <w:rFonts w:ascii="仿宋" w:eastAsia="仿宋" w:hAnsi="仿宋"/>
                <w:b/>
                <w:bCs/>
                <w:color w:val="000000"/>
                <w:kern w:val="0"/>
                <w:szCs w:val="21"/>
              </w:rPr>
            </w:pPr>
            <w:r>
              <w:rPr>
                <w:rFonts w:ascii="仿宋" w:eastAsia="仿宋" w:hAnsi="仿宋" w:cs="华文仿宋" w:hint="eastAsia"/>
                <w:b/>
                <w:bCs/>
                <w:color w:val="000000"/>
                <w:kern w:val="0"/>
                <w:szCs w:val="21"/>
              </w:rPr>
              <w:t xml:space="preserve">　</w:t>
            </w:r>
          </w:p>
        </w:tc>
      </w:tr>
      <w:tr w:rsidR="004E63EF" w:rsidTr="005366D6">
        <w:trPr>
          <w:trHeight w:val="411"/>
        </w:trPr>
        <w:tc>
          <w:tcPr>
            <w:tcW w:w="1511" w:type="dxa"/>
            <w:vMerge w:val="restart"/>
            <w:tcBorders>
              <w:top w:val="nil"/>
              <w:left w:val="single" w:sz="4" w:space="0" w:color="auto"/>
              <w:bottom w:val="single" w:sz="4" w:space="0" w:color="000000"/>
              <w:right w:val="single" w:sz="4" w:space="0" w:color="auto"/>
            </w:tcBorders>
            <w:vAlign w:val="center"/>
          </w:tcPr>
          <w:p w:rsidR="004E63EF" w:rsidRDefault="004E63EF" w:rsidP="009F0224">
            <w:pPr>
              <w:widowControl/>
              <w:jc w:val="center"/>
              <w:rPr>
                <w:rFonts w:ascii="仿宋" w:eastAsia="仿宋" w:hAnsi="仿宋" w:cs="华文仿宋"/>
                <w:b/>
                <w:bCs/>
                <w:color w:val="000000"/>
                <w:kern w:val="0"/>
                <w:szCs w:val="21"/>
              </w:rPr>
            </w:pPr>
            <w:r>
              <w:rPr>
                <w:rFonts w:ascii="仿宋" w:eastAsia="仿宋" w:hAnsi="仿宋" w:cs="华文仿宋" w:hint="eastAsia"/>
                <w:b/>
                <w:bCs/>
                <w:color w:val="000000"/>
                <w:kern w:val="0"/>
                <w:szCs w:val="21"/>
              </w:rPr>
              <w:t>被推荐进展</w:t>
            </w:r>
          </w:p>
          <w:p w:rsidR="004E63EF" w:rsidRDefault="005366D6" w:rsidP="009F0224">
            <w:pPr>
              <w:widowControl/>
              <w:jc w:val="center"/>
              <w:rPr>
                <w:rFonts w:ascii="仿宋" w:eastAsia="仿宋" w:hAnsi="仿宋" w:cs="华文仿宋"/>
                <w:b/>
                <w:bCs/>
                <w:color w:val="000000"/>
                <w:kern w:val="0"/>
                <w:szCs w:val="21"/>
              </w:rPr>
            </w:pPr>
            <w:r>
              <w:rPr>
                <w:rFonts w:ascii="仿宋" w:eastAsia="仿宋" w:hAnsi="仿宋" w:cs="华文仿宋" w:hint="eastAsia"/>
                <w:b/>
                <w:bCs/>
                <w:color w:val="000000"/>
                <w:kern w:val="0"/>
                <w:szCs w:val="21"/>
              </w:rPr>
              <w:t>简介</w:t>
            </w:r>
          </w:p>
          <w:p w:rsidR="004E63EF" w:rsidRDefault="004E63EF" w:rsidP="009F0224">
            <w:pPr>
              <w:widowControl/>
              <w:jc w:val="center"/>
              <w:rPr>
                <w:rFonts w:ascii="仿宋" w:eastAsia="仿宋" w:hAnsi="仿宋"/>
                <w:color w:val="000000"/>
                <w:kern w:val="0"/>
                <w:szCs w:val="21"/>
              </w:rPr>
            </w:pPr>
            <w:r>
              <w:rPr>
                <w:rFonts w:ascii="仿宋" w:eastAsia="仿宋" w:hAnsi="仿宋" w:cs="华文仿宋" w:hint="eastAsia"/>
                <w:color w:val="000000"/>
                <w:kern w:val="0"/>
                <w:szCs w:val="21"/>
              </w:rPr>
              <w:t>（不超过</w:t>
            </w:r>
            <w:r w:rsidR="005366D6">
              <w:rPr>
                <w:rFonts w:ascii="仿宋" w:eastAsia="仿宋" w:hAnsi="仿宋" w:cs="华文仿宋"/>
                <w:color w:val="000000"/>
                <w:kern w:val="0"/>
                <w:szCs w:val="21"/>
              </w:rPr>
              <w:t>2</w:t>
            </w:r>
            <w:r>
              <w:rPr>
                <w:rFonts w:ascii="仿宋" w:eastAsia="仿宋" w:hAnsi="仿宋" w:cs="华文仿宋" w:hint="eastAsia"/>
                <w:color w:val="000000"/>
                <w:kern w:val="0"/>
                <w:szCs w:val="21"/>
              </w:rPr>
              <w:t>00字）</w:t>
            </w:r>
          </w:p>
          <w:p w:rsidR="004E63EF" w:rsidRDefault="004E63EF" w:rsidP="009F0224">
            <w:pPr>
              <w:widowControl/>
              <w:jc w:val="center"/>
              <w:rPr>
                <w:rFonts w:ascii="仿宋" w:eastAsia="仿宋" w:hAnsi="仿宋" w:cs="华文仿宋"/>
                <w:b/>
                <w:bCs/>
                <w:color w:val="000000"/>
                <w:kern w:val="0"/>
                <w:szCs w:val="21"/>
              </w:rPr>
            </w:pPr>
          </w:p>
        </w:tc>
        <w:tc>
          <w:tcPr>
            <w:tcW w:w="6926" w:type="dxa"/>
            <w:gridSpan w:val="4"/>
            <w:vMerge w:val="restart"/>
            <w:tcBorders>
              <w:top w:val="single" w:sz="4" w:space="0" w:color="auto"/>
              <w:left w:val="single" w:sz="4" w:space="0" w:color="auto"/>
              <w:bottom w:val="single" w:sz="4" w:space="0" w:color="000000"/>
              <w:right w:val="single" w:sz="4" w:space="0" w:color="000000"/>
            </w:tcBorders>
            <w:noWrap/>
            <w:vAlign w:val="center"/>
          </w:tcPr>
          <w:p w:rsidR="004E63EF" w:rsidRDefault="005366D6" w:rsidP="009F0224">
            <w:pPr>
              <w:widowControl/>
              <w:jc w:val="left"/>
              <w:rPr>
                <w:rFonts w:ascii="仿宋" w:eastAsia="仿宋" w:hAnsi="仿宋"/>
                <w:color w:val="000000"/>
                <w:kern w:val="0"/>
                <w:szCs w:val="21"/>
              </w:rPr>
            </w:pPr>
            <w:r>
              <w:rPr>
                <w:rFonts w:ascii="仿宋" w:eastAsia="仿宋" w:hAnsi="仿宋" w:hint="eastAsia"/>
                <w:color w:val="000000"/>
                <w:kern w:val="0"/>
                <w:szCs w:val="21"/>
              </w:rPr>
              <w:t>请从推荐成果的年度完成进展角度进行简要介绍，可参考《</w:t>
            </w:r>
            <w:r w:rsidRPr="005366D6">
              <w:rPr>
                <w:rFonts w:ascii="仿宋" w:eastAsia="仿宋" w:hAnsi="仿宋" w:hint="eastAsia"/>
                <w:color w:val="000000"/>
                <w:kern w:val="0"/>
                <w:szCs w:val="21"/>
              </w:rPr>
              <w:t>附录：</w:t>
            </w:r>
            <w:r w:rsidRPr="005366D6">
              <w:rPr>
                <w:rFonts w:ascii="Calibri" w:eastAsia="仿宋" w:hAnsi="Calibri" w:cs="Calibri"/>
                <w:color w:val="000000"/>
                <w:kern w:val="0"/>
                <w:szCs w:val="21"/>
              </w:rPr>
              <w:t> </w:t>
            </w:r>
            <w:r w:rsidRPr="005366D6">
              <w:rPr>
                <w:rFonts w:ascii="仿宋" w:eastAsia="仿宋" w:hAnsi="仿宋"/>
                <w:color w:val="000000"/>
                <w:kern w:val="0"/>
                <w:szCs w:val="21"/>
              </w:rPr>
              <w:t>2019</w:t>
            </w:r>
            <w:r>
              <w:rPr>
                <w:rFonts w:ascii="仿宋" w:eastAsia="仿宋" w:hAnsi="仿宋" w:hint="eastAsia"/>
                <w:color w:val="000000"/>
                <w:kern w:val="0"/>
                <w:szCs w:val="21"/>
              </w:rPr>
              <w:t>年度中国生态环境十大科技进展</w:t>
            </w:r>
            <w:r w:rsidRPr="005366D6">
              <w:rPr>
                <w:rFonts w:ascii="仿宋" w:eastAsia="仿宋" w:hAnsi="仿宋" w:hint="eastAsia"/>
                <w:color w:val="000000"/>
                <w:kern w:val="0"/>
                <w:szCs w:val="21"/>
              </w:rPr>
              <w:t>介绍</w:t>
            </w:r>
            <w:r>
              <w:rPr>
                <w:rFonts w:ascii="仿宋" w:eastAsia="仿宋" w:hAnsi="仿宋" w:hint="eastAsia"/>
                <w:color w:val="000000"/>
                <w:kern w:val="0"/>
                <w:szCs w:val="21"/>
              </w:rPr>
              <w:t>》。</w:t>
            </w:r>
          </w:p>
          <w:p w:rsidR="004E63EF" w:rsidRDefault="004E63EF" w:rsidP="009F0224">
            <w:pPr>
              <w:widowControl/>
              <w:jc w:val="left"/>
              <w:rPr>
                <w:rFonts w:ascii="仿宋" w:eastAsia="仿宋" w:hAnsi="仿宋"/>
                <w:color w:val="000000"/>
                <w:kern w:val="0"/>
                <w:szCs w:val="21"/>
              </w:rPr>
            </w:pPr>
          </w:p>
          <w:p w:rsidR="004E63EF" w:rsidRDefault="004E63EF" w:rsidP="009F0224">
            <w:pPr>
              <w:widowControl/>
              <w:jc w:val="left"/>
              <w:rPr>
                <w:rFonts w:ascii="仿宋" w:eastAsia="仿宋" w:hAnsi="仿宋"/>
                <w:color w:val="000000"/>
                <w:kern w:val="0"/>
                <w:szCs w:val="21"/>
              </w:rPr>
            </w:pPr>
          </w:p>
          <w:p w:rsidR="004E63EF" w:rsidRDefault="004E63EF" w:rsidP="009F0224">
            <w:pPr>
              <w:widowControl/>
              <w:jc w:val="left"/>
              <w:rPr>
                <w:rFonts w:ascii="仿宋" w:eastAsia="仿宋" w:hAnsi="仿宋"/>
                <w:color w:val="000000"/>
                <w:kern w:val="0"/>
                <w:szCs w:val="21"/>
              </w:rPr>
            </w:pPr>
          </w:p>
          <w:p w:rsidR="004E63EF" w:rsidRDefault="004E63EF" w:rsidP="009F0224">
            <w:pPr>
              <w:widowControl/>
              <w:jc w:val="left"/>
              <w:rPr>
                <w:rFonts w:ascii="仿宋" w:eastAsia="仿宋" w:hAnsi="仿宋"/>
                <w:color w:val="000000"/>
                <w:kern w:val="0"/>
                <w:szCs w:val="21"/>
              </w:rPr>
            </w:pPr>
          </w:p>
          <w:p w:rsidR="004E63EF" w:rsidRDefault="004E63EF" w:rsidP="009F0224">
            <w:pPr>
              <w:widowControl/>
              <w:jc w:val="left"/>
              <w:rPr>
                <w:rFonts w:ascii="仿宋" w:eastAsia="仿宋" w:hAnsi="仿宋"/>
                <w:color w:val="000000"/>
                <w:kern w:val="0"/>
                <w:szCs w:val="21"/>
              </w:rPr>
            </w:pPr>
          </w:p>
          <w:p w:rsidR="004E63EF" w:rsidRDefault="004E63EF" w:rsidP="009F0224">
            <w:pPr>
              <w:widowControl/>
              <w:jc w:val="left"/>
              <w:rPr>
                <w:rFonts w:ascii="仿宋" w:eastAsia="仿宋" w:hAnsi="仿宋"/>
                <w:color w:val="000000"/>
                <w:kern w:val="0"/>
                <w:szCs w:val="21"/>
              </w:rPr>
            </w:pPr>
          </w:p>
          <w:p w:rsidR="004E63EF" w:rsidRDefault="004E63EF" w:rsidP="009F0224">
            <w:pPr>
              <w:widowControl/>
              <w:jc w:val="left"/>
              <w:rPr>
                <w:rFonts w:ascii="仿宋" w:eastAsia="仿宋" w:hAnsi="仿宋"/>
                <w:color w:val="000000"/>
                <w:kern w:val="0"/>
                <w:szCs w:val="21"/>
              </w:rPr>
            </w:pPr>
          </w:p>
          <w:p w:rsidR="004E63EF" w:rsidRDefault="004E63EF" w:rsidP="009F0224">
            <w:pPr>
              <w:widowControl/>
              <w:jc w:val="left"/>
              <w:rPr>
                <w:rFonts w:ascii="仿宋" w:eastAsia="仿宋" w:hAnsi="仿宋"/>
                <w:color w:val="000000"/>
                <w:kern w:val="0"/>
                <w:szCs w:val="21"/>
              </w:rPr>
            </w:pPr>
          </w:p>
          <w:p w:rsidR="004E63EF" w:rsidRDefault="004E63EF" w:rsidP="009F0224">
            <w:pPr>
              <w:widowControl/>
              <w:jc w:val="left"/>
              <w:rPr>
                <w:rFonts w:ascii="仿宋" w:eastAsia="仿宋" w:hAnsi="仿宋"/>
                <w:color w:val="000000"/>
                <w:kern w:val="0"/>
                <w:szCs w:val="21"/>
              </w:rPr>
            </w:pPr>
          </w:p>
        </w:tc>
      </w:tr>
      <w:tr w:rsidR="004E63EF" w:rsidTr="009F0224">
        <w:trPr>
          <w:trHeight w:val="513"/>
        </w:trPr>
        <w:tc>
          <w:tcPr>
            <w:tcW w:w="0" w:type="auto"/>
            <w:vMerge/>
            <w:tcBorders>
              <w:top w:val="nil"/>
              <w:left w:val="single" w:sz="4" w:space="0" w:color="auto"/>
              <w:bottom w:val="single" w:sz="4" w:space="0" w:color="000000"/>
              <w:right w:val="single" w:sz="4" w:space="0" w:color="auto"/>
            </w:tcBorders>
            <w:vAlign w:val="center"/>
            <w:hideMark/>
          </w:tcPr>
          <w:p w:rsidR="004E63EF" w:rsidRDefault="004E63EF" w:rsidP="009F0224">
            <w:pPr>
              <w:widowControl/>
              <w:jc w:val="left"/>
              <w:rPr>
                <w:rFonts w:ascii="仿宋" w:eastAsia="仿宋" w:hAnsi="仿宋" w:cs="华文仿宋"/>
                <w:b/>
                <w:bCs/>
                <w:color w:val="000000"/>
                <w:kern w:val="0"/>
                <w:szCs w:val="21"/>
              </w:rPr>
            </w:pPr>
          </w:p>
        </w:tc>
        <w:tc>
          <w:tcPr>
            <w:tcW w:w="0" w:type="auto"/>
            <w:gridSpan w:val="4"/>
            <w:vMerge/>
            <w:tcBorders>
              <w:top w:val="single" w:sz="4" w:space="0" w:color="auto"/>
              <w:left w:val="single" w:sz="4" w:space="0" w:color="auto"/>
              <w:bottom w:val="single" w:sz="4" w:space="0" w:color="000000"/>
              <w:right w:val="single" w:sz="4" w:space="0" w:color="000000"/>
            </w:tcBorders>
            <w:vAlign w:val="center"/>
            <w:hideMark/>
          </w:tcPr>
          <w:p w:rsidR="004E63EF" w:rsidRDefault="004E63EF" w:rsidP="009F0224">
            <w:pPr>
              <w:widowControl/>
              <w:jc w:val="left"/>
              <w:rPr>
                <w:rFonts w:ascii="仿宋" w:eastAsia="仿宋" w:hAnsi="仿宋"/>
                <w:color w:val="000000"/>
                <w:kern w:val="0"/>
                <w:szCs w:val="21"/>
              </w:rPr>
            </w:pPr>
          </w:p>
        </w:tc>
      </w:tr>
      <w:tr w:rsidR="004E63EF" w:rsidTr="009F0224">
        <w:trPr>
          <w:trHeight w:val="422"/>
        </w:trPr>
        <w:tc>
          <w:tcPr>
            <w:tcW w:w="0" w:type="auto"/>
            <w:vMerge/>
            <w:tcBorders>
              <w:top w:val="nil"/>
              <w:left w:val="single" w:sz="4" w:space="0" w:color="auto"/>
              <w:bottom w:val="single" w:sz="4" w:space="0" w:color="000000"/>
              <w:right w:val="single" w:sz="4" w:space="0" w:color="auto"/>
            </w:tcBorders>
            <w:vAlign w:val="center"/>
            <w:hideMark/>
          </w:tcPr>
          <w:p w:rsidR="004E63EF" w:rsidRDefault="004E63EF" w:rsidP="009F0224">
            <w:pPr>
              <w:widowControl/>
              <w:jc w:val="left"/>
              <w:rPr>
                <w:rFonts w:ascii="仿宋" w:eastAsia="仿宋" w:hAnsi="仿宋" w:cs="华文仿宋"/>
                <w:b/>
                <w:bCs/>
                <w:color w:val="000000"/>
                <w:kern w:val="0"/>
                <w:szCs w:val="21"/>
              </w:rPr>
            </w:pPr>
          </w:p>
        </w:tc>
        <w:tc>
          <w:tcPr>
            <w:tcW w:w="0" w:type="auto"/>
            <w:gridSpan w:val="4"/>
            <w:vMerge/>
            <w:tcBorders>
              <w:top w:val="single" w:sz="4" w:space="0" w:color="auto"/>
              <w:left w:val="single" w:sz="4" w:space="0" w:color="auto"/>
              <w:bottom w:val="single" w:sz="4" w:space="0" w:color="000000"/>
              <w:right w:val="single" w:sz="4" w:space="0" w:color="000000"/>
            </w:tcBorders>
            <w:vAlign w:val="center"/>
            <w:hideMark/>
          </w:tcPr>
          <w:p w:rsidR="004E63EF" w:rsidRDefault="004E63EF" w:rsidP="009F0224">
            <w:pPr>
              <w:widowControl/>
              <w:jc w:val="left"/>
              <w:rPr>
                <w:rFonts w:ascii="仿宋" w:eastAsia="仿宋" w:hAnsi="仿宋"/>
                <w:color w:val="000000"/>
                <w:kern w:val="0"/>
                <w:szCs w:val="21"/>
              </w:rPr>
            </w:pPr>
          </w:p>
        </w:tc>
      </w:tr>
      <w:tr w:rsidR="004E63EF" w:rsidTr="009F0224">
        <w:trPr>
          <w:trHeight w:val="411"/>
        </w:trPr>
        <w:tc>
          <w:tcPr>
            <w:tcW w:w="0" w:type="auto"/>
            <w:vMerge/>
            <w:tcBorders>
              <w:top w:val="nil"/>
              <w:left w:val="single" w:sz="4" w:space="0" w:color="auto"/>
              <w:bottom w:val="single" w:sz="4" w:space="0" w:color="000000"/>
              <w:right w:val="single" w:sz="4" w:space="0" w:color="auto"/>
            </w:tcBorders>
            <w:vAlign w:val="center"/>
            <w:hideMark/>
          </w:tcPr>
          <w:p w:rsidR="004E63EF" w:rsidRDefault="004E63EF" w:rsidP="009F0224">
            <w:pPr>
              <w:widowControl/>
              <w:jc w:val="left"/>
              <w:rPr>
                <w:rFonts w:ascii="仿宋" w:eastAsia="仿宋" w:hAnsi="仿宋" w:cs="华文仿宋"/>
                <w:b/>
                <w:bCs/>
                <w:color w:val="000000"/>
                <w:kern w:val="0"/>
                <w:szCs w:val="21"/>
              </w:rPr>
            </w:pPr>
          </w:p>
        </w:tc>
        <w:tc>
          <w:tcPr>
            <w:tcW w:w="0" w:type="auto"/>
            <w:gridSpan w:val="4"/>
            <w:vMerge/>
            <w:tcBorders>
              <w:top w:val="single" w:sz="4" w:space="0" w:color="auto"/>
              <w:left w:val="single" w:sz="4" w:space="0" w:color="auto"/>
              <w:bottom w:val="single" w:sz="4" w:space="0" w:color="000000"/>
              <w:right w:val="single" w:sz="4" w:space="0" w:color="000000"/>
            </w:tcBorders>
            <w:vAlign w:val="center"/>
            <w:hideMark/>
          </w:tcPr>
          <w:p w:rsidR="004E63EF" w:rsidRDefault="004E63EF" w:rsidP="009F0224">
            <w:pPr>
              <w:widowControl/>
              <w:jc w:val="left"/>
              <w:rPr>
                <w:rFonts w:ascii="仿宋" w:eastAsia="仿宋" w:hAnsi="仿宋"/>
                <w:color w:val="000000"/>
                <w:kern w:val="0"/>
                <w:szCs w:val="21"/>
              </w:rPr>
            </w:pPr>
          </w:p>
        </w:tc>
      </w:tr>
      <w:tr w:rsidR="004E63EF" w:rsidTr="009F0224">
        <w:trPr>
          <w:trHeight w:val="312"/>
        </w:trPr>
        <w:tc>
          <w:tcPr>
            <w:tcW w:w="0" w:type="auto"/>
            <w:vMerge/>
            <w:tcBorders>
              <w:top w:val="nil"/>
              <w:left w:val="single" w:sz="4" w:space="0" w:color="auto"/>
              <w:bottom w:val="single" w:sz="4" w:space="0" w:color="000000"/>
              <w:right w:val="single" w:sz="4" w:space="0" w:color="auto"/>
            </w:tcBorders>
            <w:vAlign w:val="center"/>
            <w:hideMark/>
          </w:tcPr>
          <w:p w:rsidR="004E63EF" w:rsidRDefault="004E63EF" w:rsidP="009F0224">
            <w:pPr>
              <w:widowControl/>
              <w:jc w:val="left"/>
              <w:rPr>
                <w:rFonts w:ascii="仿宋" w:eastAsia="仿宋" w:hAnsi="仿宋" w:cs="华文仿宋"/>
                <w:b/>
                <w:bCs/>
                <w:color w:val="000000"/>
                <w:kern w:val="0"/>
                <w:szCs w:val="21"/>
              </w:rPr>
            </w:pPr>
          </w:p>
        </w:tc>
        <w:tc>
          <w:tcPr>
            <w:tcW w:w="0" w:type="auto"/>
            <w:gridSpan w:val="4"/>
            <w:vMerge/>
            <w:tcBorders>
              <w:top w:val="single" w:sz="4" w:space="0" w:color="auto"/>
              <w:left w:val="single" w:sz="4" w:space="0" w:color="auto"/>
              <w:bottom w:val="single" w:sz="4" w:space="0" w:color="000000"/>
              <w:right w:val="single" w:sz="4" w:space="0" w:color="000000"/>
            </w:tcBorders>
            <w:vAlign w:val="center"/>
            <w:hideMark/>
          </w:tcPr>
          <w:p w:rsidR="004E63EF" w:rsidRDefault="004E63EF" w:rsidP="009F0224">
            <w:pPr>
              <w:widowControl/>
              <w:jc w:val="left"/>
              <w:rPr>
                <w:rFonts w:ascii="仿宋" w:eastAsia="仿宋" w:hAnsi="仿宋"/>
                <w:color w:val="000000"/>
                <w:kern w:val="0"/>
                <w:szCs w:val="21"/>
              </w:rPr>
            </w:pPr>
          </w:p>
        </w:tc>
      </w:tr>
    </w:tbl>
    <w:p w:rsidR="005366D6" w:rsidRDefault="005366D6" w:rsidP="005366D6">
      <w:pPr>
        <w:widowControl/>
        <w:shd w:val="clear" w:color="auto" w:fill="FFFFFF"/>
        <w:ind w:firstLine="420"/>
        <w:jc w:val="left"/>
        <w:rPr>
          <w:rFonts w:ascii="仿宋" w:eastAsia="仿宋" w:hAnsi="仿宋"/>
          <w:color w:val="000000"/>
          <w:szCs w:val="21"/>
        </w:rPr>
      </w:pPr>
    </w:p>
    <w:p w:rsidR="005366D6" w:rsidRPr="005366D6" w:rsidRDefault="005366D6" w:rsidP="005366D6">
      <w:pPr>
        <w:widowControl/>
        <w:shd w:val="clear" w:color="auto" w:fill="FFFFFF"/>
        <w:jc w:val="left"/>
        <w:rPr>
          <w:rFonts w:ascii="仿宋" w:eastAsia="仿宋" w:hAnsi="仿宋" w:cs="Calibri"/>
          <w:b/>
          <w:kern w:val="0"/>
          <w:sz w:val="28"/>
          <w:szCs w:val="21"/>
        </w:rPr>
      </w:pPr>
      <w:r w:rsidRPr="005366D6">
        <w:rPr>
          <w:rFonts w:ascii="仿宋" w:eastAsia="仿宋" w:hAnsi="仿宋" w:cs="Calibri" w:hint="eastAsia"/>
          <w:b/>
          <w:kern w:val="0"/>
          <w:sz w:val="28"/>
          <w:szCs w:val="21"/>
          <w:bdr w:val="none" w:sz="0" w:space="0" w:color="auto" w:frame="1"/>
        </w:rPr>
        <w:t>附录：</w:t>
      </w:r>
      <w:r w:rsidRPr="005366D6">
        <w:rPr>
          <w:rFonts w:ascii="Calibri" w:eastAsia="仿宋" w:hAnsi="Calibri" w:cs="Calibri"/>
          <w:b/>
          <w:kern w:val="0"/>
          <w:sz w:val="28"/>
          <w:szCs w:val="21"/>
          <w:bdr w:val="none" w:sz="0" w:space="0" w:color="auto" w:frame="1"/>
        </w:rPr>
        <w:t> </w:t>
      </w:r>
      <w:r w:rsidRPr="005366D6">
        <w:rPr>
          <w:rFonts w:ascii="仿宋" w:eastAsia="仿宋" w:hAnsi="仿宋" w:cs="Calibri"/>
          <w:b/>
          <w:kern w:val="0"/>
          <w:sz w:val="28"/>
          <w:szCs w:val="21"/>
          <w:bdr w:val="none" w:sz="0" w:space="0" w:color="auto" w:frame="1"/>
        </w:rPr>
        <w:t>2019</w:t>
      </w:r>
      <w:r w:rsidRPr="005366D6">
        <w:rPr>
          <w:rFonts w:ascii="仿宋" w:eastAsia="仿宋" w:hAnsi="仿宋" w:cs="Calibri" w:hint="eastAsia"/>
          <w:b/>
          <w:kern w:val="0"/>
          <w:sz w:val="28"/>
          <w:szCs w:val="21"/>
          <w:bdr w:val="none" w:sz="0" w:space="0" w:color="auto" w:frame="1"/>
        </w:rPr>
        <w:t>年度中国生态环境十大科技进展</w:t>
      </w:r>
      <w:r>
        <w:rPr>
          <w:rFonts w:ascii="仿宋" w:eastAsia="仿宋" w:hAnsi="仿宋" w:cs="Calibri" w:hint="eastAsia"/>
          <w:b/>
          <w:kern w:val="0"/>
          <w:sz w:val="28"/>
          <w:szCs w:val="21"/>
          <w:bdr w:val="none" w:sz="0" w:space="0" w:color="auto" w:frame="1"/>
        </w:rPr>
        <w:t>介绍</w:t>
      </w:r>
    </w:p>
    <w:p w:rsidR="005366D6" w:rsidRPr="005366D6" w:rsidRDefault="005366D6" w:rsidP="005366D6">
      <w:pPr>
        <w:widowControl/>
        <w:shd w:val="clear" w:color="auto" w:fill="FFFFFF"/>
        <w:ind w:firstLine="420"/>
        <w:jc w:val="left"/>
        <w:rPr>
          <w:rFonts w:ascii="仿宋" w:eastAsia="仿宋" w:hAnsi="仿宋" w:cs="Calibri"/>
          <w:b/>
          <w:kern w:val="0"/>
          <w:szCs w:val="21"/>
        </w:rPr>
      </w:pPr>
      <w:r w:rsidRPr="005366D6">
        <w:rPr>
          <w:rFonts w:ascii="仿宋" w:eastAsia="仿宋" w:hAnsi="仿宋" w:cs="Calibri"/>
          <w:b/>
          <w:kern w:val="0"/>
          <w:szCs w:val="21"/>
          <w:bdr w:val="none" w:sz="0" w:space="0" w:color="auto" w:frame="1"/>
        </w:rPr>
        <w:t>1.</w:t>
      </w:r>
      <w:r w:rsidRPr="005366D6">
        <w:rPr>
          <w:rFonts w:ascii="仿宋" w:eastAsia="仿宋" w:hAnsi="仿宋" w:cs="Calibri" w:hint="eastAsia"/>
          <w:b/>
          <w:kern w:val="0"/>
          <w:szCs w:val="21"/>
          <w:bdr w:val="none" w:sz="0" w:space="0" w:color="auto" w:frame="1"/>
        </w:rPr>
        <w:t>大气重污染成因重大攻关项目成效显著</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仿宋" w:eastAsia="仿宋" w:hAnsi="仿宋" w:cs="Calibri" w:hint="eastAsia"/>
          <w:kern w:val="0"/>
          <w:szCs w:val="21"/>
          <w:bdr w:val="none" w:sz="0" w:space="0" w:color="auto" w:frame="1"/>
        </w:rPr>
        <w:t>中国环境科学研究院联合其它</w:t>
      </w:r>
      <w:r w:rsidRPr="005366D6">
        <w:rPr>
          <w:rFonts w:ascii="仿宋" w:eastAsia="仿宋" w:hAnsi="仿宋" w:cs="Calibri"/>
          <w:kern w:val="0"/>
          <w:szCs w:val="21"/>
          <w:bdr w:val="none" w:sz="0" w:space="0" w:color="auto" w:frame="1"/>
        </w:rPr>
        <w:t>295</w:t>
      </w:r>
      <w:r w:rsidRPr="005366D6">
        <w:rPr>
          <w:rFonts w:ascii="仿宋" w:eastAsia="仿宋" w:hAnsi="仿宋" w:cs="Calibri" w:hint="eastAsia"/>
          <w:kern w:val="0"/>
          <w:szCs w:val="21"/>
          <w:bdr w:val="none" w:sz="0" w:space="0" w:color="auto" w:frame="1"/>
        </w:rPr>
        <w:t>家单位，近</w:t>
      </w:r>
      <w:r w:rsidRPr="005366D6">
        <w:rPr>
          <w:rFonts w:ascii="仿宋" w:eastAsia="仿宋" w:hAnsi="仿宋" w:cs="Calibri"/>
          <w:kern w:val="0"/>
          <w:szCs w:val="21"/>
          <w:bdr w:val="none" w:sz="0" w:space="0" w:color="auto" w:frame="1"/>
        </w:rPr>
        <w:t>2000</w:t>
      </w:r>
      <w:r w:rsidRPr="005366D6">
        <w:rPr>
          <w:rFonts w:ascii="仿宋" w:eastAsia="仿宋" w:hAnsi="仿宋" w:cs="Calibri" w:hint="eastAsia"/>
          <w:kern w:val="0"/>
          <w:szCs w:val="21"/>
          <w:bdr w:val="none" w:sz="0" w:space="0" w:color="auto" w:frame="1"/>
        </w:rPr>
        <w:t>名优秀科学家和一线科技工作者组成了攻关队伍，针对</w:t>
      </w:r>
      <w:r w:rsidRPr="005366D6">
        <w:rPr>
          <w:rFonts w:ascii="仿宋" w:eastAsia="仿宋" w:hAnsi="仿宋" w:cs="Calibri"/>
          <w:kern w:val="0"/>
          <w:szCs w:val="21"/>
          <w:bdr w:val="none" w:sz="0" w:space="0" w:color="auto" w:frame="1"/>
        </w:rPr>
        <w:t>4</w:t>
      </w:r>
      <w:r w:rsidRPr="005366D6">
        <w:rPr>
          <w:rFonts w:ascii="仿宋" w:eastAsia="仿宋" w:hAnsi="仿宋" w:cs="Calibri" w:hint="eastAsia"/>
          <w:kern w:val="0"/>
          <w:szCs w:val="21"/>
          <w:bdr w:val="none" w:sz="0" w:space="0" w:color="auto" w:frame="1"/>
        </w:rPr>
        <w:t>大研究专题，成立了</w:t>
      </w:r>
      <w:r w:rsidRPr="005366D6">
        <w:rPr>
          <w:rFonts w:ascii="仿宋" w:eastAsia="仿宋" w:hAnsi="仿宋" w:cs="Calibri"/>
          <w:kern w:val="0"/>
          <w:szCs w:val="21"/>
          <w:bdr w:val="none" w:sz="0" w:space="0" w:color="auto" w:frame="1"/>
        </w:rPr>
        <w:t>28</w:t>
      </w:r>
      <w:r w:rsidRPr="005366D6">
        <w:rPr>
          <w:rFonts w:ascii="仿宋" w:eastAsia="仿宋" w:hAnsi="仿宋" w:cs="Calibri" w:hint="eastAsia"/>
          <w:kern w:val="0"/>
          <w:szCs w:val="21"/>
          <w:bdr w:val="none" w:sz="0" w:space="0" w:color="auto" w:frame="1"/>
        </w:rPr>
        <w:t>个专家团队深入“</w:t>
      </w:r>
      <w:r w:rsidRPr="005366D6">
        <w:rPr>
          <w:rFonts w:ascii="仿宋" w:eastAsia="仿宋" w:hAnsi="仿宋" w:cs="Calibri"/>
          <w:kern w:val="0"/>
          <w:szCs w:val="21"/>
          <w:bdr w:val="none" w:sz="0" w:space="0" w:color="auto" w:frame="1"/>
        </w:rPr>
        <w:t>2+26</w:t>
      </w:r>
      <w:r w:rsidRPr="005366D6">
        <w:rPr>
          <w:rFonts w:ascii="仿宋" w:eastAsia="仿宋" w:hAnsi="仿宋" w:cs="Calibri" w:hint="eastAsia"/>
          <w:kern w:val="0"/>
          <w:szCs w:val="21"/>
          <w:bdr w:val="none" w:sz="0" w:space="0" w:color="auto" w:frame="1"/>
        </w:rPr>
        <w:t>”城市一线进行驻点跟踪和技术指导，经过两年半的研究，实现了大气重污染成因与治理关键技术突破，建成国内最大的区域天地空立体综合观测网，量化了污染排放、气象过程、化学转化和区域传输对重污染过程的贡献，全面弄清了秋冬季重污染成因，提出了系统性解决方案。与</w:t>
      </w:r>
      <w:r w:rsidRPr="005366D6">
        <w:rPr>
          <w:rFonts w:ascii="仿宋" w:eastAsia="仿宋" w:hAnsi="仿宋" w:cs="Calibri"/>
          <w:kern w:val="0"/>
          <w:szCs w:val="21"/>
          <w:bdr w:val="none" w:sz="0" w:space="0" w:color="auto" w:frame="1"/>
        </w:rPr>
        <w:t>2016</w:t>
      </w:r>
      <w:r w:rsidRPr="005366D6">
        <w:rPr>
          <w:rFonts w:ascii="仿宋" w:eastAsia="仿宋" w:hAnsi="仿宋" w:cs="Calibri" w:hint="eastAsia"/>
          <w:kern w:val="0"/>
          <w:szCs w:val="21"/>
          <w:bdr w:val="none" w:sz="0" w:space="0" w:color="auto" w:frame="1"/>
        </w:rPr>
        <w:t>年相比，</w:t>
      </w:r>
      <w:r w:rsidRPr="005366D6">
        <w:rPr>
          <w:rFonts w:ascii="仿宋" w:eastAsia="仿宋" w:hAnsi="仿宋" w:cs="Calibri"/>
          <w:kern w:val="0"/>
          <w:szCs w:val="21"/>
          <w:bdr w:val="none" w:sz="0" w:space="0" w:color="auto" w:frame="1"/>
        </w:rPr>
        <w:t>2019</w:t>
      </w:r>
      <w:r w:rsidRPr="005366D6">
        <w:rPr>
          <w:rFonts w:ascii="仿宋" w:eastAsia="仿宋" w:hAnsi="仿宋" w:cs="Calibri" w:hint="eastAsia"/>
          <w:kern w:val="0"/>
          <w:szCs w:val="21"/>
          <w:bdr w:val="none" w:sz="0" w:space="0" w:color="auto" w:frame="1"/>
        </w:rPr>
        <w:t>年“</w:t>
      </w:r>
      <w:r w:rsidRPr="005366D6">
        <w:rPr>
          <w:rFonts w:ascii="仿宋" w:eastAsia="仿宋" w:hAnsi="仿宋" w:cs="Calibri"/>
          <w:kern w:val="0"/>
          <w:szCs w:val="21"/>
          <w:bdr w:val="none" w:sz="0" w:space="0" w:color="auto" w:frame="1"/>
        </w:rPr>
        <w:t>2+26</w:t>
      </w:r>
      <w:r w:rsidRPr="005366D6">
        <w:rPr>
          <w:rFonts w:ascii="仿宋" w:eastAsia="仿宋" w:hAnsi="仿宋" w:cs="Calibri" w:hint="eastAsia"/>
          <w:kern w:val="0"/>
          <w:szCs w:val="21"/>
          <w:bdr w:val="none" w:sz="0" w:space="0" w:color="auto" w:frame="1"/>
        </w:rPr>
        <w:t>”城市重污染天数减少</w:t>
      </w:r>
      <w:r w:rsidRPr="005366D6">
        <w:rPr>
          <w:rFonts w:ascii="仿宋" w:eastAsia="仿宋" w:hAnsi="仿宋" w:cs="Calibri"/>
          <w:kern w:val="0"/>
          <w:szCs w:val="21"/>
          <w:bdr w:val="none" w:sz="0" w:space="0" w:color="auto" w:frame="1"/>
        </w:rPr>
        <w:t>44.5%</w:t>
      </w:r>
      <w:r w:rsidRPr="005366D6">
        <w:rPr>
          <w:rFonts w:ascii="仿宋" w:eastAsia="仿宋" w:hAnsi="仿宋" w:cs="Calibri" w:hint="eastAsia"/>
          <w:kern w:val="0"/>
          <w:szCs w:val="21"/>
          <w:bdr w:val="none" w:sz="0" w:space="0" w:color="auto" w:frame="1"/>
        </w:rPr>
        <w:t>，北京市重污染天数减少</w:t>
      </w:r>
      <w:r w:rsidRPr="005366D6">
        <w:rPr>
          <w:rFonts w:ascii="仿宋" w:eastAsia="仿宋" w:hAnsi="仿宋" w:cs="Calibri"/>
          <w:kern w:val="0"/>
          <w:szCs w:val="21"/>
          <w:bdr w:val="none" w:sz="0" w:space="0" w:color="auto" w:frame="1"/>
        </w:rPr>
        <w:t>89.7%</w:t>
      </w:r>
      <w:r w:rsidRPr="005366D6">
        <w:rPr>
          <w:rFonts w:ascii="仿宋" w:eastAsia="仿宋" w:hAnsi="仿宋" w:cs="Calibri" w:hint="eastAsia"/>
          <w:kern w:val="0"/>
          <w:szCs w:val="21"/>
          <w:bdr w:val="none" w:sz="0" w:space="0" w:color="auto" w:frame="1"/>
        </w:rPr>
        <w:t>。攻关重点支撑的“</w:t>
      </w:r>
      <w:r w:rsidRPr="005366D6">
        <w:rPr>
          <w:rFonts w:ascii="仿宋" w:eastAsia="仿宋" w:hAnsi="仿宋" w:cs="Calibri"/>
          <w:kern w:val="0"/>
          <w:szCs w:val="21"/>
          <w:bdr w:val="none" w:sz="0" w:space="0" w:color="auto" w:frame="1"/>
        </w:rPr>
        <w:t>2+26</w:t>
      </w:r>
      <w:r w:rsidRPr="005366D6">
        <w:rPr>
          <w:rFonts w:ascii="仿宋" w:eastAsia="仿宋" w:hAnsi="仿宋" w:cs="Calibri" w:hint="eastAsia"/>
          <w:kern w:val="0"/>
          <w:szCs w:val="21"/>
          <w:bdr w:val="none" w:sz="0" w:space="0" w:color="auto" w:frame="1"/>
        </w:rPr>
        <w:t>”城市空气质量改善速率大幅提升，明显高于其它重点区域。越来越多的蓝天给人民群众带来了更多的幸福感。</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Calibri" w:eastAsia="仿宋" w:hAnsi="Calibri" w:cs="Calibri"/>
          <w:kern w:val="0"/>
          <w:szCs w:val="21"/>
          <w:bdr w:val="none" w:sz="0" w:space="0" w:color="auto" w:frame="1"/>
        </w:rPr>
        <w:t> </w:t>
      </w:r>
    </w:p>
    <w:p w:rsidR="005366D6" w:rsidRPr="005366D6" w:rsidRDefault="005366D6" w:rsidP="005366D6">
      <w:pPr>
        <w:widowControl/>
        <w:shd w:val="clear" w:color="auto" w:fill="FFFFFF"/>
        <w:ind w:firstLine="420"/>
        <w:jc w:val="left"/>
        <w:rPr>
          <w:rFonts w:ascii="仿宋" w:eastAsia="仿宋" w:hAnsi="仿宋" w:cs="Calibri"/>
          <w:b/>
          <w:kern w:val="0"/>
          <w:szCs w:val="21"/>
        </w:rPr>
      </w:pPr>
      <w:r w:rsidRPr="005366D6">
        <w:rPr>
          <w:rFonts w:ascii="仿宋" w:eastAsia="仿宋" w:hAnsi="仿宋" w:cs="Calibri"/>
          <w:b/>
          <w:kern w:val="0"/>
          <w:szCs w:val="21"/>
          <w:bdr w:val="none" w:sz="0" w:space="0" w:color="auto" w:frame="1"/>
        </w:rPr>
        <w:t>2.</w:t>
      </w:r>
      <w:r w:rsidRPr="005366D6">
        <w:rPr>
          <w:rFonts w:ascii="仿宋" w:eastAsia="仿宋" w:hAnsi="仿宋" w:cs="Calibri" w:hint="eastAsia"/>
          <w:b/>
          <w:kern w:val="0"/>
          <w:szCs w:val="21"/>
          <w:bdr w:val="none" w:sz="0" w:space="0" w:color="auto" w:frame="1"/>
        </w:rPr>
        <w:t>我国不同区域氨减排精准化策略的科学依据</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仿宋" w:eastAsia="仿宋" w:hAnsi="仿宋" w:cs="Calibri" w:hint="eastAsia"/>
          <w:kern w:val="0"/>
          <w:szCs w:val="21"/>
          <w:bdr w:val="none" w:sz="0" w:space="0" w:color="auto" w:frame="1"/>
        </w:rPr>
        <w:t>氨减排虽然有利于降低人群</w:t>
      </w:r>
      <w:r w:rsidRPr="005366D6">
        <w:rPr>
          <w:rFonts w:ascii="仿宋" w:eastAsia="仿宋" w:hAnsi="仿宋" w:cs="Calibri"/>
          <w:kern w:val="0"/>
          <w:szCs w:val="21"/>
          <w:bdr w:val="none" w:sz="0" w:space="0" w:color="auto" w:frame="1"/>
        </w:rPr>
        <w:t>PM2.5</w:t>
      </w:r>
      <w:r w:rsidRPr="005366D6">
        <w:rPr>
          <w:rFonts w:ascii="仿宋" w:eastAsia="仿宋" w:hAnsi="仿宋" w:cs="Calibri" w:hint="eastAsia"/>
          <w:kern w:val="0"/>
          <w:szCs w:val="21"/>
          <w:bdr w:val="none" w:sz="0" w:space="0" w:color="auto" w:frame="1"/>
        </w:rPr>
        <w:t>的暴露风险，但也会导致酸雨恶化影响生态健康，北京大学朱彤和宋宇等人研究表明，应分区域精准制定我国氨减排策略。研究进展以专报形式在</w:t>
      </w:r>
      <w:r w:rsidRPr="005366D6">
        <w:rPr>
          <w:rFonts w:ascii="仿宋" w:eastAsia="仿宋" w:hAnsi="仿宋" w:cs="Calibri"/>
          <w:kern w:val="0"/>
          <w:szCs w:val="21"/>
          <w:bdr w:val="none" w:sz="0" w:space="0" w:color="auto" w:frame="1"/>
        </w:rPr>
        <w:t>2019</w:t>
      </w:r>
      <w:r w:rsidRPr="005366D6">
        <w:rPr>
          <w:rFonts w:ascii="仿宋" w:eastAsia="仿宋" w:hAnsi="仿宋" w:cs="Calibri" w:hint="eastAsia"/>
          <w:kern w:val="0"/>
          <w:szCs w:val="21"/>
          <w:bdr w:val="none" w:sz="0" w:space="0" w:color="auto" w:frame="1"/>
        </w:rPr>
        <w:t>年获国家领导人批示，可对未来政策制订起到支撑作用。</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Calibri" w:eastAsia="仿宋" w:hAnsi="Calibri" w:cs="Calibri"/>
          <w:kern w:val="0"/>
          <w:szCs w:val="21"/>
          <w:bdr w:val="none" w:sz="0" w:space="0" w:color="auto" w:frame="1"/>
        </w:rPr>
        <w:t> </w:t>
      </w:r>
    </w:p>
    <w:p w:rsidR="005366D6" w:rsidRPr="005366D6" w:rsidRDefault="005366D6" w:rsidP="005366D6">
      <w:pPr>
        <w:widowControl/>
        <w:shd w:val="clear" w:color="auto" w:fill="FFFFFF"/>
        <w:ind w:firstLine="420"/>
        <w:jc w:val="left"/>
        <w:rPr>
          <w:rFonts w:ascii="仿宋" w:eastAsia="仿宋" w:hAnsi="仿宋" w:cs="Calibri"/>
          <w:b/>
          <w:kern w:val="0"/>
          <w:szCs w:val="21"/>
        </w:rPr>
      </w:pPr>
      <w:r w:rsidRPr="005366D6">
        <w:rPr>
          <w:rFonts w:ascii="仿宋" w:eastAsia="仿宋" w:hAnsi="仿宋" w:cs="Calibri"/>
          <w:b/>
          <w:kern w:val="0"/>
          <w:szCs w:val="21"/>
          <w:bdr w:val="none" w:sz="0" w:space="0" w:color="auto" w:frame="1"/>
        </w:rPr>
        <w:t>3.</w:t>
      </w:r>
      <w:r w:rsidRPr="005366D6">
        <w:rPr>
          <w:rFonts w:ascii="仿宋" w:eastAsia="仿宋" w:hAnsi="仿宋" w:cs="Calibri" w:hint="eastAsia"/>
          <w:b/>
          <w:kern w:val="0"/>
          <w:szCs w:val="21"/>
          <w:bdr w:val="none" w:sz="0" w:space="0" w:color="auto" w:frame="1"/>
        </w:rPr>
        <w:t>三重阻控技术有效治理稻田重金属污染</w:t>
      </w:r>
    </w:p>
    <w:p w:rsidR="005366D6" w:rsidRPr="005366D6" w:rsidRDefault="005366D6" w:rsidP="005366D6">
      <w:pPr>
        <w:widowControl/>
        <w:shd w:val="clear" w:color="auto" w:fill="FFFFFF"/>
        <w:ind w:firstLine="420"/>
        <w:jc w:val="left"/>
        <w:rPr>
          <w:rFonts w:ascii="仿宋" w:eastAsia="仿宋" w:hAnsi="仿宋" w:cs="Calibri"/>
          <w:kern w:val="0"/>
          <w:szCs w:val="21"/>
        </w:rPr>
      </w:pPr>
      <w:r>
        <w:rPr>
          <w:rFonts w:ascii="Calibri" w:eastAsia="仿宋" w:hAnsi="Calibri" w:cs="Calibri"/>
          <w:kern w:val="0"/>
          <w:szCs w:val="21"/>
          <w:bdr w:val="none" w:sz="0" w:space="0" w:color="auto" w:frame="1"/>
        </w:rPr>
        <w:t> </w:t>
      </w:r>
      <w:r w:rsidRPr="005366D6">
        <w:rPr>
          <w:rFonts w:ascii="仿宋" w:eastAsia="仿宋" w:hAnsi="仿宋" w:cs="Calibri" w:hint="eastAsia"/>
          <w:kern w:val="0"/>
          <w:szCs w:val="21"/>
          <w:bdr w:val="none" w:sz="0" w:space="0" w:color="auto" w:frame="1"/>
        </w:rPr>
        <w:t>针对我国稻田土壤重金属污染治理的重大需求，以及环境地球科学的国际前沿，广东省生态环境技术研究所的李芳柏团队与合作者协同攻关率先创建了土壤</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水稻系统重金属污染的“三重阻控”技术体系，实现了新原理</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新技术</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规模应用的系统创新，为国家土壤污染防治行动计划的有效实施提供了技术支撑。</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Calibri" w:eastAsia="仿宋" w:hAnsi="Calibri" w:cs="Calibri"/>
          <w:kern w:val="0"/>
          <w:szCs w:val="21"/>
          <w:bdr w:val="none" w:sz="0" w:space="0" w:color="auto" w:frame="1"/>
        </w:rPr>
        <w:t> </w:t>
      </w:r>
    </w:p>
    <w:p w:rsidR="005366D6" w:rsidRPr="005366D6" w:rsidRDefault="005366D6" w:rsidP="005366D6">
      <w:pPr>
        <w:widowControl/>
        <w:shd w:val="clear" w:color="auto" w:fill="FFFFFF"/>
        <w:ind w:firstLine="420"/>
        <w:jc w:val="left"/>
        <w:rPr>
          <w:rFonts w:ascii="仿宋" w:eastAsia="仿宋" w:hAnsi="仿宋" w:cs="Calibri"/>
          <w:b/>
          <w:kern w:val="0"/>
          <w:szCs w:val="21"/>
        </w:rPr>
      </w:pPr>
      <w:r w:rsidRPr="005366D6">
        <w:rPr>
          <w:rFonts w:ascii="仿宋" w:eastAsia="仿宋" w:hAnsi="仿宋" w:cs="Calibri"/>
          <w:b/>
          <w:kern w:val="0"/>
          <w:szCs w:val="21"/>
          <w:bdr w:val="none" w:sz="0" w:space="0" w:color="auto" w:frame="1"/>
        </w:rPr>
        <w:lastRenderedPageBreak/>
        <w:t>4.</w:t>
      </w:r>
      <w:r w:rsidRPr="005366D6">
        <w:rPr>
          <w:rFonts w:ascii="仿宋" w:eastAsia="仿宋" w:hAnsi="仿宋" w:cs="Calibri" w:hint="eastAsia"/>
          <w:b/>
          <w:kern w:val="0"/>
          <w:szCs w:val="21"/>
          <w:bdr w:val="none" w:sz="0" w:space="0" w:color="auto" w:frame="1"/>
        </w:rPr>
        <w:t>我国钢铁行业超低排放核心技术取得重大突破</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仿宋" w:eastAsia="仿宋" w:hAnsi="仿宋" w:cs="Calibri" w:hint="eastAsia"/>
          <w:kern w:val="0"/>
          <w:szCs w:val="21"/>
          <w:bdr w:val="none" w:sz="0" w:space="0" w:color="auto" w:frame="1"/>
        </w:rPr>
        <w:t>中科院过程所朱廷钰团队联合河钢集团、中冶焦耐、中钢天澄等单位历经</w:t>
      </w:r>
      <w:r w:rsidRPr="005366D6">
        <w:rPr>
          <w:rFonts w:ascii="仿宋" w:eastAsia="仿宋" w:hAnsi="仿宋" w:cs="Calibri"/>
          <w:kern w:val="0"/>
          <w:szCs w:val="21"/>
          <w:bdr w:val="none" w:sz="0" w:space="0" w:color="auto" w:frame="1"/>
        </w:rPr>
        <w:t>10</w:t>
      </w:r>
      <w:r w:rsidRPr="005366D6">
        <w:rPr>
          <w:rFonts w:ascii="Calibri" w:eastAsia="仿宋" w:hAnsi="Calibri" w:cs="Calibri"/>
          <w:kern w:val="0"/>
          <w:szCs w:val="21"/>
          <w:bdr w:val="none" w:sz="0" w:space="0" w:color="auto" w:frame="1"/>
        </w:rPr>
        <w:t> </w:t>
      </w:r>
      <w:r w:rsidRPr="005366D6">
        <w:rPr>
          <w:rFonts w:ascii="仿宋" w:eastAsia="仿宋" w:hAnsi="仿宋" w:cs="Calibri" w:hint="eastAsia"/>
          <w:kern w:val="0"/>
          <w:szCs w:val="21"/>
          <w:bdr w:val="none" w:sz="0" w:space="0" w:color="auto" w:frame="1"/>
        </w:rPr>
        <w:t>余年攻关，研发了钢铁行业多工序多污染物超低排放控制技术，为钢铁行业全流程、全过程、全污染物的全面减排提供了系统解决方案。项目成果已在国内外完成近百台套工程应用，经济社会效益显著。</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Calibri" w:eastAsia="仿宋" w:hAnsi="Calibri" w:cs="Calibri"/>
          <w:kern w:val="0"/>
          <w:szCs w:val="21"/>
          <w:bdr w:val="none" w:sz="0" w:space="0" w:color="auto" w:frame="1"/>
        </w:rPr>
        <w:t> </w:t>
      </w:r>
    </w:p>
    <w:p w:rsidR="005366D6" w:rsidRPr="005366D6" w:rsidRDefault="005366D6" w:rsidP="005366D6">
      <w:pPr>
        <w:widowControl/>
        <w:shd w:val="clear" w:color="auto" w:fill="FFFFFF"/>
        <w:ind w:firstLine="420"/>
        <w:jc w:val="left"/>
        <w:rPr>
          <w:rFonts w:ascii="仿宋" w:eastAsia="仿宋" w:hAnsi="仿宋" w:cs="Calibri"/>
          <w:b/>
          <w:kern w:val="0"/>
          <w:szCs w:val="21"/>
        </w:rPr>
      </w:pPr>
      <w:r w:rsidRPr="005366D6">
        <w:rPr>
          <w:rFonts w:ascii="仿宋" w:eastAsia="仿宋" w:hAnsi="仿宋" w:cs="Calibri"/>
          <w:b/>
          <w:kern w:val="0"/>
          <w:szCs w:val="21"/>
          <w:bdr w:val="none" w:sz="0" w:space="0" w:color="auto" w:frame="1"/>
        </w:rPr>
        <w:t>5.</w:t>
      </w:r>
      <w:r w:rsidRPr="005366D6">
        <w:rPr>
          <w:rFonts w:ascii="仿宋" w:eastAsia="仿宋" w:hAnsi="仿宋" w:cs="Calibri" w:hint="eastAsia"/>
          <w:b/>
          <w:kern w:val="0"/>
          <w:szCs w:val="21"/>
          <w:bdr w:val="none" w:sz="0" w:space="0" w:color="auto" w:frame="1"/>
        </w:rPr>
        <w:t>大熊猫野化培训与放归突破关键技术</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仿宋" w:eastAsia="仿宋" w:hAnsi="仿宋" w:cs="Calibri" w:hint="eastAsia"/>
          <w:kern w:val="0"/>
          <w:szCs w:val="21"/>
          <w:bdr w:val="none" w:sz="0" w:space="0" w:color="auto" w:frame="1"/>
        </w:rPr>
        <w:t>将经过野化培训后的大熊猫放归自然，是大熊猫野生种群复壮的重要手段，是保护大熊猫最有效的途径之一。大熊猫野化放归研究项目组历时</w:t>
      </w:r>
      <w:r w:rsidRPr="005366D6">
        <w:rPr>
          <w:rFonts w:ascii="仿宋" w:eastAsia="仿宋" w:hAnsi="仿宋" w:cs="Calibri"/>
          <w:kern w:val="0"/>
          <w:szCs w:val="21"/>
          <w:bdr w:val="none" w:sz="0" w:space="0" w:color="auto" w:frame="1"/>
        </w:rPr>
        <w:t>16</w:t>
      </w:r>
      <w:r w:rsidRPr="005366D6">
        <w:rPr>
          <w:rFonts w:ascii="仿宋" w:eastAsia="仿宋" w:hAnsi="仿宋" w:cs="Calibri" w:hint="eastAsia"/>
          <w:kern w:val="0"/>
          <w:szCs w:val="21"/>
          <w:bdr w:val="none" w:sz="0" w:space="0" w:color="auto" w:frame="1"/>
        </w:rPr>
        <w:t>年，创新了大熊猫的野化培训技术和放归评估体系，建立了野化放归监测和拟放归地选择标准体系。实现了复壮大熊猫濒危野生小种群的目标。被国内外主流媒体广泛评述与报道，产生了巨大的社会效益和生态效益。</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Calibri" w:eastAsia="仿宋" w:hAnsi="Calibri" w:cs="Calibri"/>
          <w:kern w:val="0"/>
          <w:szCs w:val="21"/>
          <w:bdr w:val="none" w:sz="0" w:space="0" w:color="auto" w:frame="1"/>
        </w:rPr>
        <w:t> </w:t>
      </w:r>
    </w:p>
    <w:p w:rsidR="005366D6" w:rsidRPr="005366D6" w:rsidRDefault="005366D6" w:rsidP="005366D6">
      <w:pPr>
        <w:widowControl/>
        <w:shd w:val="clear" w:color="auto" w:fill="FFFFFF"/>
        <w:ind w:firstLine="420"/>
        <w:jc w:val="left"/>
        <w:rPr>
          <w:rFonts w:ascii="仿宋" w:eastAsia="仿宋" w:hAnsi="仿宋" w:cs="Calibri"/>
          <w:b/>
          <w:kern w:val="0"/>
          <w:szCs w:val="21"/>
        </w:rPr>
      </w:pPr>
      <w:r w:rsidRPr="005366D6">
        <w:rPr>
          <w:rFonts w:ascii="仿宋" w:eastAsia="仿宋" w:hAnsi="仿宋" w:cs="Calibri"/>
          <w:b/>
          <w:kern w:val="0"/>
          <w:szCs w:val="21"/>
          <w:bdr w:val="none" w:sz="0" w:space="0" w:color="auto" w:frame="1"/>
        </w:rPr>
        <w:t>6.</w:t>
      </w:r>
      <w:r w:rsidRPr="005366D6">
        <w:rPr>
          <w:rFonts w:ascii="仿宋" w:eastAsia="仿宋" w:hAnsi="仿宋" w:cs="Calibri" w:hint="eastAsia"/>
          <w:b/>
          <w:kern w:val="0"/>
          <w:szCs w:val="21"/>
          <w:bdr w:val="none" w:sz="0" w:space="0" w:color="auto" w:frame="1"/>
        </w:rPr>
        <w:t>基于种养结合生态循环的农业面源污染治理关键技术</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仿宋" w:eastAsia="仿宋" w:hAnsi="仿宋" w:cs="Calibri" w:hint="eastAsia"/>
          <w:kern w:val="0"/>
          <w:szCs w:val="21"/>
          <w:bdr w:val="none" w:sz="0" w:space="0" w:color="auto" w:frame="1"/>
        </w:rPr>
        <w:t>针对粮食增产稳产压力下化肥不合理施用以及种养脱节造成的水环境问题，中国农科院环发所张晴雯团队以农业有机废弃物资源化利用为纽带，结合产业链上下游，从理论、技术、产品进行全链条创新研发，搭建起养殖与种植间碳元素高效利用平台，突破了农田增效减负与清洁生产技术，养殖废弃物混合多级综合利用技术，种养一体化循环利用技术，并在华北平原河网区、西北宁蒙黄灌区、西南丘陵区进行了规模化示范，实现了传统集约化粮食主产区“资源</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产品</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废物排放”的线性生产模式向循环化、效益化和多维度、多梯级的模式转变。</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Calibri" w:eastAsia="仿宋" w:hAnsi="Calibri" w:cs="Calibri"/>
          <w:kern w:val="0"/>
          <w:szCs w:val="21"/>
          <w:bdr w:val="none" w:sz="0" w:space="0" w:color="auto" w:frame="1"/>
        </w:rPr>
        <w:t> </w:t>
      </w:r>
    </w:p>
    <w:p w:rsidR="005366D6" w:rsidRPr="005366D6" w:rsidRDefault="005366D6" w:rsidP="005366D6">
      <w:pPr>
        <w:widowControl/>
        <w:shd w:val="clear" w:color="auto" w:fill="FFFFFF"/>
        <w:ind w:firstLine="420"/>
        <w:jc w:val="left"/>
        <w:rPr>
          <w:rFonts w:ascii="仿宋" w:eastAsia="仿宋" w:hAnsi="仿宋" w:cs="Calibri"/>
          <w:b/>
          <w:kern w:val="0"/>
          <w:szCs w:val="21"/>
        </w:rPr>
      </w:pPr>
      <w:r w:rsidRPr="005366D6">
        <w:rPr>
          <w:rFonts w:ascii="仿宋" w:eastAsia="仿宋" w:hAnsi="仿宋" w:cs="Calibri"/>
          <w:b/>
          <w:kern w:val="0"/>
          <w:szCs w:val="21"/>
          <w:bdr w:val="none" w:sz="0" w:space="0" w:color="auto" w:frame="1"/>
        </w:rPr>
        <w:t>7.</w:t>
      </w:r>
      <w:r w:rsidRPr="005366D6">
        <w:rPr>
          <w:rFonts w:ascii="仿宋" w:eastAsia="仿宋" w:hAnsi="仿宋" w:cs="Calibri" w:hint="eastAsia"/>
          <w:b/>
          <w:kern w:val="0"/>
          <w:szCs w:val="21"/>
          <w:bdr w:val="none" w:sz="0" w:space="0" w:color="auto" w:frame="1"/>
        </w:rPr>
        <w:t>建立我国电子垃圾拆解行业环境污染健康风险管控技术体系</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仿宋" w:eastAsia="仿宋" w:hAnsi="仿宋" w:cs="Calibri" w:hint="eastAsia"/>
          <w:kern w:val="0"/>
          <w:szCs w:val="21"/>
          <w:bdr w:val="none" w:sz="0" w:space="0" w:color="auto" w:frame="1"/>
        </w:rPr>
        <w:t>我国电子垃圾数量巨大且快速增长，正成为影响公众健康的重要环境问题之一。生态环境部华南环境科学研究所于云江研究组及其合作团队围绕电子垃圾拆解区污染物的暴露特征识别、人群健康效应和健康风险评估三个关键环节，历经多年钻研与应用，建立了以行业为管理目标的环境污染健康风险识别</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评估</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管控技术体系，研究成果在我国主要电子垃圾拆解区成功应用，大大降低了电子垃圾带来的健康风险，为该行业环境健康风险综合防治提供了重要技术支持。</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Calibri" w:eastAsia="仿宋" w:hAnsi="Calibri" w:cs="Calibri"/>
          <w:kern w:val="0"/>
          <w:szCs w:val="21"/>
          <w:bdr w:val="none" w:sz="0" w:space="0" w:color="auto" w:frame="1"/>
        </w:rPr>
        <w:t> </w:t>
      </w:r>
    </w:p>
    <w:p w:rsidR="005366D6" w:rsidRPr="005366D6" w:rsidRDefault="005366D6" w:rsidP="005366D6">
      <w:pPr>
        <w:widowControl/>
        <w:shd w:val="clear" w:color="auto" w:fill="FFFFFF"/>
        <w:ind w:firstLine="420"/>
        <w:jc w:val="left"/>
        <w:rPr>
          <w:rFonts w:ascii="仿宋" w:eastAsia="仿宋" w:hAnsi="仿宋" w:cs="Calibri"/>
          <w:b/>
          <w:kern w:val="0"/>
          <w:szCs w:val="21"/>
        </w:rPr>
      </w:pPr>
      <w:r w:rsidRPr="005366D6">
        <w:rPr>
          <w:rFonts w:ascii="仿宋" w:eastAsia="仿宋" w:hAnsi="仿宋" w:cs="Calibri"/>
          <w:b/>
          <w:kern w:val="0"/>
          <w:szCs w:val="21"/>
          <w:bdr w:val="none" w:sz="0" w:space="0" w:color="auto" w:frame="1"/>
        </w:rPr>
        <w:t>8.</w:t>
      </w:r>
      <w:r w:rsidRPr="005366D6">
        <w:rPr>
          <w:rFonts w:ascii="仿宋" w:eastAsia="仿宋" w:hAnsi="仿宋" w:cs="Calibri" w:hint="eastAsia"/>
          <w:b/>
          <w:kern w:val="0"/>
          <w:szCs w:val="21"/>
          <w:bdr w:val="none" w:sz="0" w:space="0" w:color="auto" w:frame="1"/>
        </w:rPr>
        <w:t>工业烟气多污染物协同深度治理关键技术</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仿宋" w:eastAsia="仿宋" w:hAnsi="仿宋" w:cs="Calibri" w:hint="eastAsia"/>
          <w:kern w:val="0"/>
          <w:szCs w:val="21"/>
          <w:bdr w:val="none" w:sz="0" w:space="0" w:color="auto" w:frame="1"/>
        </w:rPr>
        <w:t>项目组针对我国钢铁、建材等非电行业生产工艺差异大、运行工况温度及流量波动大、烟气成分复杂多变的特征，</w:t>
      </w:r>
      <w:r w:rsidRPr="005366D6">
        <w:rPr>
          <w:rFonts w:ascii="Calibri" w:eastAsia="仿宋" w:hAnsi="Calibri" w:cs="Calibri"/>
          <w:kern w:val="0"/>
          <w:szCs w:val="21"/>
          <w:bdr w:val="none" w:sz="0" w:space="0" w:color="auto" w:frame="1"/>
        </w:rPr>
        <w:t> </w:t>
      </w:r>
      <w:r w:rsidRPr="005366D6">
        <w:rPr>
          <w:rFonts w:ascii="仿宋" w:eastAsia="仿宋" w:hAnsi="仿宋" w:cs="Calibri" w:hint="eastAsia"/>
          <w:kern w:val="0"/>
          <w:szCs w:val="21"/>
          <w:bdr w:val="none" w:sz="0" w:space="0" w:color="auto" w:frame="1"/>
        </w:rPr>
        <w:t>“产</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学</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研</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用”的创新团队紧密合作，攻坚克难，突破了烟气多污染物协同控制技术难题，打造了“核心功能材料</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关键技术装备</w:t>
      </w:r>
      <w:r w:rsidRPr="005366D6">
        <w:rPr>
          <w:rFonts w:ascii="仿宋" w:eastAsia="仿宋" w:hAnsi="仿宋" w:cs="Calibri"/>
          <w:kern w:val="0"/>
          <w:szCs w:val="21"/>
          <w:bdr w:val="none" w:sz="0" w:space="0" w:color="auto" w:frame="1"/>
        </w:rPr>
        <w:t>-</w:t>
      </w:r>
      <w:r w:rsidRPr="005366D6">
        <w:rPr>
          <w:rFonts w:ascii="仿宋" w:eastAsia="仿宋" w:hAnsi="仿宋" w:cs="Calibri" w:hint="eastAsia"/>
          <w:kern w:val="0"/>
          <w:szCs w:val="21"/>
          <w:bdr w:val="none" w:sz="0" w:space="0" w:color="auto" w:frame="1"/>
        </w:rPr>
        <w:t>深度治理工艺”完整的产业技术创新链，并实现大规模应用。</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Calibri" w:eastAsia="仿宋" w:hAnsi="Calibri" w:cs="Calibri"/>
          <w:kern w:val="0"/>
          <w:szCs w:val="21"/>
          <w:bdr w:val="none" w:sz="0" w:space="0" w:color="auto" w:frame="1"/>
        </w:rPr>
        <w:t> </w:t>
      </w:r>
    </w:p>
    <w:p w:rsidR="005366D6" w:rsidRPr="005366D6" w:rsidRDefault="005366D6" w:rsidP="005366D6">
      <w:pPr>
        <w:widowControl/>
        <w:shd w:val="clear" w:color="auto" w:fill="FFFFFF"/>
        <w:ind w:firstLine="420"/>
        <w:jc w:val="left"/>
        <w:rPr>
          <w:rFonts w:ascii="仿宋" w:eastAsia="仿宋" w:hAnsi="仿宋" w:cs="Calibri"/>
          <w:b/>
          <w:kern w:val="0"/>
          <w:szCs w:val="21"/>
        </w:rPr>
      </w:pPr>
      <w:r w:rsidRPr="005366D6">
        <w:rPr>
          <w:rFonts w:ascii="仿宋" w:eastAsia="仿宋" w:hAnsi="仿宋" w:cs="Calibri"/>
          <w:b/>
          <w:kern w:val="0"/>
          <w:szCs w:val="21"/>
          <w:bdr w:val="none" w:sz="0" w:space="0" w:color="auto" w:frame="1"/>
        </w:rPr>
        <w:t>9.</w:t>
      </w:r>
      <w:r w:rsidRPr="005366D6">
        <w:rPr>
          <w:rFonts w:ascii="仿宋" w:eastAsia="仿宋" w:hAnsi="仿宋" w:cs="Calibri" w:hint="eastAsia"/>
          <w:b/>
          <w:kern w:val="0"/>
          <w:szCs w:val="21"/>
          <w:bdr w:val="none" w:sz="0" w:space="0" w:color="auto" w:frame="1"/>
        </w:rPr>
        <w:t>我国近地表臭氧污染加剧成因及协同控制策略</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仿宋" w:eastAsia="仿宋" w:hAnsi="仿宋" w:cs="Calibri" w:hint="eastAsia"/>
          <w:kern w:val="0"/>
          <w:szCs w:val="21"/>
          <w:bdr w:val="none" w:sz="0" w:space="0" w:color="auto" w:frame="1"/>
        </w:rPr>
        <w:t>酸雨、细颗粒物等大气污染问题改善趋势持续向好，群众面临新的困惑：为何有时候蓝天仍是污染日？原因在于我国正面临日益严重的臭氧污染。“大气国十条”实施以来，城市地区大气污染六项指标中五项已下降，唯有臭氧浓度持续上升。南京信息工程大学廖宏教授团队研究发现，近几年我国</w:t>
      </w:r>
      <w:r w:rsidRPr="005366D6">
        <w:rPr>
          <w:rFonts w:ascii="仿宋" w:eastAsia="仿宋" w:hAnsi="仿宋" w:cs="Calibri"/>
          <w:kern w:val="0"/>
          <w:szCs w:val="21"/>
          <w:bdr w:val="none" w:sz="0" w:space="0" w:color="auto" w:frame="1"/>
        </w:rPr>
        <w:t>PM2.5</w:t>
      </w:r>
      <w:r w:rsidRPr="005366D6">
        <w:rPr>
          <w:rFonts w:ascii="仿宋" w:eastAsia="仿宋" w:hAnsi="仿宋" w:cs="Calibri" w:hint="eastAsia"/>
          <w:kern w:val="0"/>
          <w:szCs w:val="21"/>
          <w:bdr w:val="none" w:sz="0" w:space="0" w:color="auto" w:frame="1"/>
        </w:rPr>
        <w:t>浓度的降低加剧了臭氧污染。未来唯有同时减排氮氧化物和挥发性有机物，才能更有效地实现霾和臭氧治理的双赢。该项研究为我国制定协同减排策略提供了关键性的理论依据。</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Calibri" w:eastAsia="仿宋" w:hAnsi="Calibri" w:cs="Calibri"/>
          <w:kern w:val="0"/>
          <w:szCs w:val="21"/>
          <w:bdr w:val="none" w:sz="0" w:space="0" w:color="auto" w:frame="1"/>
        </w:rPr>
        <w:t> </w:t>
      </w:r>
    </w:p>
    <w:p w:rsidR="005366D6" w:rsidRPr="005366D6" w:rsidRDefault="005366D6" w:rsidP="005366D6">
      <w:pPr>
        <w:widowControl/>
        <w:shd w:val="clear" w:color="auto" w:fill="FFFFFF"/>
        <w:ind w:firstLine="420"/>
        <w:jc w:val="left"/>
        <w:rPr>
          <w:rFonts w:ascii="仿宋" w:eastAsia="仿宋" w:hAnsi="仿宋" w:cs="Calibri"/>
          <w:b/>
          <w:kern w:val="0"/>
          <w:szCs w:val="21"/>
        </w:rPr>
      </w:pPr>
      <w:r w:rsidRPr="005366D6">
        <w:rPr>
          <w:rFonts w:ascii="仿宋" w:eastAsia="仿宋" w:hAnsi="仿宋" w:cs="Calibri"/>
          <w:b/>
          <w:kern w:val="0"/>
          <w:szCs w:val="21"/>
          <w:bdr w:val="none" w:sz="0" w:space="0" w:color="auto" w:frame="1"/>
        </w:rPr>
        <w:lastRenderedPageBreak/>
        <w:t>10.</w:t>
      </w:r>
      <w:r w:rsidRPr="005366D6">
        <w:rPr>
          <w:rFonts w:ascii="仿宋" w:eastAsia="仿宋" w:hAnsi="仿宋" w:cs="Calibri" w:hint="eastAsia"/>
          <w:b/>
          <w:kern w:val="0"/>
          <w:szCs w:val="21"/>
          <w:bdr w:val="none" w:sz="0" w:space="0" w:color="auto" w:frame="1"/>
        </w:rPr>
        <w:t>泥石流灾害预判与综合防控关键技术</w:t>
      </w:r>
    </w:p>
    <w:p w:rsidR="005366D6" w:rsidRPr="005366D6" w:rsidRDefault="005366D6" w:rsidP="005366D6">
      <w:pPr>
        <w:widowControl/>
        <w:shd w:val="clear" w:color="auto" w:fill="FFFFFF"/>
        <w:ind w:firstLine="420"/>
        <w:jc w:val="left"/>
        <w:rPr>
          <w:rFonts w:ascii="仿宋" w:eastAsia="仿宋" w:hAnsi="仿宋" w:cs="Calibri"/>
          <w:kern w:val="0"/>
          <w:szCs w:val="21"/>
        </w:rPr>
      </w:pPr>
      <w:r w:rsidRPr="005366D6">
        <w:rPr>
          <w:rFonts w:ascii="仿宋" w:eastAsia="仿宋" w:hAnsi="仿宋" w:cs="Calibri" w:hint="eastAsia"/>
          <w:kern w:val="0"/>
          <w:szCs w:val="21"/>
          <w:bdr w:val="none" w:sz="0" w:space="0" w:color="auto" w:frame="1"/>
        </w:rPr>
        <w:t>面对泥石流灾害频发的局面，针对泥石流灾害预测预警难度大、工程防治理论支撑不足等问题，中科院成都</w:t>
      </w:r>
      <w:bookmarkStart w:id="0" w:name="_GoBack"/>
      <w:bookmarkEnd w:id="0"/>
      <w:r w:rsidRPr="005366D6">
        <w:rPr>
          <w:rFonts w:ascii="仿宋" w:eastAsia="仿宋" w:hAnsi="仿宋" w:cs="Calibri" w:hint="eastAsia"/>
          <w:kern w:val="0"/>
          <w:szCs w:val="21"/>
          <w:bdr w:val="none" w:sz="0" w:space="0" w:color="auto" w:frame="1"/>
        </w:rPr>
        <w:t>山地所陈宁生研究员牵头的科研团队历经</w:t>
      </w:r>
      <w:r w:rsidRPr="005366D6">
        <w:rPr>
          <w:rFonts w:ascii="仿宋" w:eastAsia="仿宋" w:hAnsi="仿宋" w:cs="Calibri"/>
          <w:kern w:val="0"/>
          <w:szCs w:val="21"/>
          <w:bdr w:val="none" w:sz="0" w:space="0" w:color="auto" w:frame="1"/>
        </w:rPr>
        <w:t>18</w:t>
      </w:r>
      <w:r w:rsidRPr="005366D6">
        <w:rPr>
          <w:rFonts w:ascii="仿宋" w:eastAsia="仿宋" w:hAnsi="仿宋" w:cs="Calibri" w:hint="eastAsia"/>
          <w:kern w:val="0"/>
          <w:szCs w:val="21"/>
          <w:bdr w:val="none" w:sz="0" w:space="0" w:color="auto" w:frame="1"/>
        </w:rPr>
        <w:t>年研究，创立了泥石流物源控制理论，揭示了干旱与地震联合驱动泥石流发生的机制；建立了分级多指标的泥石流预测、判识与预警系统，构建了泥石流高效能工程调控关键技术体系，典型示范工程分布于四川映秀、邛海，新疆天池和一带一路国家等；项目成果落地实施，推动了行业进步，提升了国家、地方科技减灾水平。成果受益人口</w:t>
      </w:r>
      <w:r w:rsidRPr="005366D6">
        <w:rPr>
          <w:rFonts w:ascii="仿宋" w:eastAsia="仿宋" w:hAnsi="仿宋" w:cs="Calibri"/>
          <w:kern w:val="0"/>
          <w:szCs w:val="21"/>
          <w:bdr w:val="none" w:sz="0" w:space="0" w:color="auto" w:frame="1"/>
        </w:rPr>
        <w:t>130</w:t>
      </w:r>
      <w:r w:rsidRPr="005366D6">
        <w:rPr>
          <w:rFonts w:ascii="仿宋" w:eastAsia="仿宋" w:hAnsi="仿宋" w:cs="Calibri" w:hint="eastAsia"/>
          <w:kern w:val="0"/>
          <w:szCs w:val="21"/>
          <w:bdr w:val="none" w:sz="0" w:space="0" w:color="auto" w:frame="1"/>
        </w:rPr>
        <w:t>万，示范工程经济效益</w:t>
      </w:r>
      <w:r w:rsidRPr="005366D6">
        <w:rPr>
          <w:rFonts w:ascii="仿宋" w:eastAsia="仿宋" w:hAnsi="仿宋" w:cs="Calibri"/>
          <w:kern w:val="0"/>
          <w:szCs w:val="21"/>
          <w:bdr w:val="none" w:sz="0" w:space="0" w:color="auto" w:frame="1"/>
        </w:rPr>
        <w:t>95.5</w:t>
      </w:r>
      <w:r w:rsidRPr="005366D6">
        <w:rPr>
          <w:rFonts w:ascii="仿宋" w:eastAsia="仿宋" w:hAnsi="仿宋" w:cs="Calibri" w:hint="eastAsia"/>
          <w:kern w:val="0"/>
          <w:szCs w:val="21"/>
          <w:bdr w:val="none" w:sz="0" w:space="0" w:color="auto" w:frame="1"/>
        </w:rPr>
        <w:t>亿元，减沙效益超过</w:t>
      </w:r>
      <w:r w:rsidRPr="005366D6">
        <w:rPr>
          <w:rFonts w:ascii="仿宋" w:eastAsia="仿宋" w:hAnsi="仿宋" w:cs="Calibri"/>
          <w:kern w:val="0"/>
          <w:szCs w:val="21"/>
          <w:bdr w:val="none" w:sz="0" w:space="0" w:color="auto" w:frame="1"/>
        </w:rPr>
        <w:t>1.39</w:t>
      </w:r>
      <w:r w:rsidRPr="005366D6">
        <w:rPr>
          <w:rFonts w:ascii="仿宋" w:eastAsia="仿宋" w:hAnsi="仿宋" w:cs="Calibri" w:hint="eastAsia"/>
          <w:kern w:val="0"/>
          <w:szCs w:val="21"/>
          <w:bdr w:val="none" w:sz="0" w:space="0" w:color="auto" w:frame="1"/>
        </w:rPr>
        <w:t>亿</w:t>
      </w:r>
      <w:r w:rsidRPr="005366D6">
        <w:rPr>
          <w:rFonts w:ascii="仿宋" w:eastAsia="仿宋" w:hAnsi="仿宋" w:cs="Calibri"/>
          <w:kern w:val="0"/>
          <w:szCs w:val="21"/>
          <w:bdr w:val="none" w:sz="0" w:space="0" w:color="auto" w:frame="1"/>
        </w:rPr>
        <w:t>m</w:t>
      </w:r>
      <w:r w:rsidRPr="005366D6">
        <w:rPr>
          <w:rFonts w:ascii="Calibri" w:eastAsia="仿宋" w:hAnsi="Calibri" w:cs="Calibri"/>
          <w:kern w:val="0"/>
          <w:szCs w:val="21"/>
          <w:bdr w:val="none" w:sz="0" w:space="0" w:color="auto" w:frame="1"/>
        </w:rPr>
        <w:t>³</w:t>
      </w:r>
      <w:r w:rsidRPr="005366D6">
        <w:rPr>
          <w:rFonts w:ascii="仿宋" w:eastAsia="仿宋" w:hAnsi="仿宋" w:cs="仿宋" w:hint="eastAsia"/>
          <w:kern w:val="0"/>
          <w:szCs w:val="21"/>
          <w:bdr w:val="none" w:sz="0" w:space="0" w:color="auto" w:frame="1"/>
        </w:rPr>
        <w:t>。</w:t>
      </w:r>
    </w:p>
    <w:p w:rsidR="005366D6" w:rsidRPr="005366D6" w:rsidRDefault="005366D6" w:rsidP="004E63EF">
      <w:pPr>
        <w:spacing w:after="100" w:afterAutospacing="1" w:line="240" w:lineRule="exact"/>
        <w:jc w:val="left"/>
        <w:rPr>
          <w:rFonts w:ascii="仿宋" w:eastAsia="仿宋" w:hAnsi="仿宋" w:hint="eastAsia"/>
          <w:szCs w:val="21"/>
        </w:rPr>
      </w:pPr>
    </w:p>
    <w:sectPr w:rsidR="005366D6" w:rsidRPr="005366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70D3" w:rsidRDefault="006E70D3" w:rsidP="004E63EF">
      <w:r>
        <w:separator/>
      </w:r>
    </w:p>
  </w:endnote>
  <w:endnote w:type="continuationSeparator" w:id="0">
    <w:p w:rsidR="006E70D3" w:rsidRDefault="006E70D3" w:rsidP="004E6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70D3" w:rsidRDefault="006E70D3" w:rsidP="004E63EF">
      <w:r>
        <w:separator/>
      </w:r>
    </w:p>
  </w:footnote>
  <w:footnote w:type="continuationSeparator" w:id="0">
    <w:p w:rsidR="006E70D3" w:rsidRDefault="006E70D3" w:rsidP="004E63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DD1"/>
    <w:rsid w:val="004E63EF"/>
    <w:rsid w:val="005366D6"/>
    <w:rsid w:val="005E7DD8"/>
    <w:rsid w:val="006E70D3"/>
    <w:rsid w:val="00C36C27"/>
    <w:rsid w:val="00E94D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64B6C9"/>
  <w15:chartTrackingRefBased/>
  <w15:docId w15:val="{685DA24A-BC91-45D0-BF3E-49D2785AA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63E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63E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4E63EF"/>
    <w:rPr>
      <w:sz w:val="18"/>
      <w:szCs w:val="18"/>
    </w:rPr>
  </w:style>
  <w:style w:type="paragraph" w:styleId="a5">
    <w:name w:val="footer"/>
    <w:basedOn w:val="a"/>
    <w:link w:val="a6"/>
    <w:uiPriority w:val="99"/>
    <w:unhideWhenUsed/>
    <w:rsid w:val="004E63E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4E63E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5313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351</Words>
  <Characters>2003</Characters>
  <Application>Microsoft Office Word</Application>
  <DocSecurity>0</DocSecurity>
  <Lines>16</Lines>
  <Paragraphs>4</Paragraphs>
  <ScaleCrop>false</ScaleCrop>
  <Company/>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2020-12-31T01:13:00Z</dcterms:created>
  <dcterms:modified xsi:type="dcterms:W3CDTF">2020-12-31T01:20:00Z</dcterms:modified>
</cp:coreProperties>
</file>